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E4" w:rsidRPr="00F3071C" w:rsidRDefault="00B10CE4" w:rsidP="00B10CE4">
      <w:pPr>
        <w:keepNext/>
        <w:outlineLvl w:val="1"/>
        <w:rPr>
          <w:rFonts w:eastAsia="Calibri" w:cs="Arial"/>
          <w:b/>
          <w:szCs w:val="28"/>
        </w:rPr>
      </w:pPr>
      <w:bookmarkStart w:id="0" w:name="_Toc21364706"/>
      <w:bookmarkStart w:id="1" w:name="_Toc21621936"/>
      <w:r>
        <w:rPr>
          <w:rFonts w:eastAsia="Calibri" w:cs="Arial"/>
          <w:b/>
          <w:szCs w:val="28"/>
        </w:rPr>
        <w:t>Петренко І. П</w:t>
      </w:r>
      <w:r w:rsidRPr="00F3071C">
        <w:rPr>
          <w:rFonts w:eastAsia="Calibri" w:cs="Arial"/>
          <w:b/>
          <w:szCs w:val="28"/>
        </w:rPr>
        <w:t>.</w:t>
      </w:r>
      <w:bookmarkEnd w:id="0"/>
      <w:bookmarkEnd w:id="1"/>
    </w:p>
    <w:p w:rsidR="00B10CE4" w:rsidRPr="00F3071C" w:rsidRDefault="00B10CE4" w:rsidP="00B10CE4">
      <w:pPr>
        <w:pBdr>
          <w:top w:val="single" w:sz="4" w:space="1" w:color="auto"/>
          <w:bottom w:val="single" w:sz="4" w:space="1" w:color="auto"/>
        </w:pBdr>
        <w:rPr>
          <w:rFonts w:cs="Arial"/>
          <w:i/>
          <w:szCs w:val="28"/>
        </w:rPr>
      </w:pPr>
      <w:r w:rsidRPr="00F3071C">
        <w:rPr>
          <w:rFonts w:cs="Arial"/>
          <w:i/>
          <w:szCs w:val="28"/>
        </w:rPr>
        <w:t xml:space="preserve">Київський національний університет імені Тараса Шевченка, </w:t>
      </w:r>
      <w:r>
        <w:rPr>
          <w:rFonts w:cs="Arial"/>
          <w:i/>
          <w:szCs w:val="28"/>
        </w:rPr>
        <w:t>студент 3 курсу факультету соціології</w:t>
      </w:r>
      <w:r w:rsidRPr="00F3071C">
        <w:rPr>
          <w:rFonts w:cs="Arial"/>
          <w:i/>
          <w:szCs w:val="28"/>
        </w:rPr>
        <w:t>, Київ</w:t>
      </w:r>
    </w:p>
    <w:p w:rsidR="00B10CE4" w:rsidRPr="00F3071C" w:rsidRDefault="00B10CE4" w:rsidP="00B10CE4">
      <w:pPr>
        <w:pStyle w:val="2"/>
      </w:pPr>
      <w:r>
        <w:t>ОСОБЛИВОСТІ СТУДЕНТСЬКОЇ САМООРГАНІЗАЦІЇ В СВІТЛІ ТЕОРІЇ КОМУНІКАТИВНОЇ ДІЇ ЮР</w:t>
      </w:r>
      <w:r w:rsidR="00E90851">
        <w:rPr>
          <w:rFonts w:cs="Arial"/>
          <w:szCs w:val="28"/>
        </w:rPr>
        <w:t>Ґ</w:t>
      </w:r>
      <w:r>
        <w:t>ЕНА ГАБЕРМАСА</w:t>
      </w:r>
    </w:p>
    <w:p w:rsidR="00B10CE4" w:rsidRDefault="00B10CE4" w:rsidP="00B10CE4">
      <w:pPr>
        <w:pStyle w:val="21"/>
        <w:spacing w:after="0" w:line="240" w:lineRule="auto"/>
        <w:ind w:left="0" w:firstLine="709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 xml:space="preserve">Студентське життя в умовах сучасного університету має бути предметом постійної саморефлексії. Подолання викликів та труднощів, що постають перед студентством в ході колективної </w:t>
      </w:r>
      <w:proofErr w:type="spellStart"/>
      <w:r>
        <w:rPr>
          <w:rFonts w:cs="Arial"/>
          <w:sz w:val="28"/>
          <w:szCs w:val="28"/>
          <w:lang w:val="uk-UA"/>
        </w:rPr>
        <w:t>позааудиторної</w:t>
      </w:r>
      <w:proofErr w:type="spellEnd"/>
      <w:r>
        <w:rPr>
          <w:rFonts w:cs="Arial"/>
          <w:sz w:val="28"/>
          <w:szCs w:val="28"/>
          <w:lang w:val="uk-UA"/>
        </w:rPr>
        <w:t xml:space="preserve"> активності, передбачають формування та поширення принципів та стратегії міжособистісної комунікації. Щоб ця стратегія була успішною та дієвою, необхідно, аби вона ґрунтувалася на </w:t>
      </w:r>
      <w:r w:rsidR="00E90851">
        <w:rPr>
          <w:rFonts w:cs="Arial"/>
          <w:sz w:val="28"/>
          <w:szCs w:val="28"/>
          <w:lang w:val="uk-UA"/>
        </w:rPr>
        <w:t xml:space="preserve">серйозних теоретичних засадах. Прикладом такого теоретичного підґрунтя може стати теорія комунікативної дії </w:t>
      </w:r>
      <w:proofErr w:type="spellStart"/>
      <w:r w:rsidR="00E90851">
        <w:rPr>
          <w:rFonts w:cs="Arial"/>
          <w:sz w:val="28"/>
          <w:szCs w:val="28"/>
          <w:lang w:val="uk-UA"/>
        </w:rPr>
        <w:t>Юр</w:t>
      </w:r>
      <w:r w:rsidR="00E90851">
        <w:rPr>
          <w:rFonts w:cs="Arial"/>
          <w:sz w:val="28"/>
          <w:szCs w:val="28"/>
          <w:lang w:val="uk-UA"/>
        </w:rPr>
        <w:t>ґ</w:t>
      </w:r>
      <w:r w:rsidR="00E90851">
        <w:rPr>
          <w:rFonts w:cs="Arial"/>
          <w:sz w:val="28"/>
          <w:szCs w:val="28"/>
          <w:lang w:val="uk-UA"/>
        </w:rPr>
        <w:t>ена</w:t>
      </w:r>
      <w:proofErr w:type="spellEnd"/>
      <w:r w:rsidR="00E90851">
        <w:rPr>
          <w:rFonts w:cs="Arial"/>
          <w:sz w:val="28"/>
          <w:szCs w:val="28"/>
          <w:lang w:val="uk-UA"/>
        </w:rPr>
        <w:t xml:space="preserve"> </w:t>
      </w:r>
      <w:proofErr w:type="spellStart"/>
      <w:r w:rsidR="00E90851">
        <w:rPr>
          <w:rFonts w:cs="Arial"/>
          <w:sz w:val="28"/>
          <w:szCs w:val="28"/>
          <w:lang w:val="uk-UA"/>
        </w:rPr>
        <w:t>Габермаса</w:t>
      </w:r>
      <w:proofErr w:type="spellEnd"/>
      <w:r w:rsidR="00E90851">
        <w:rPr>
          <w:rFonts w:cs="Arial"/>
          <w:sz w:val="28"/>
          <w:szCs w:val="28"/>
          <w:lang w:val="uk-UA"/>
        </w:rPr>
        <w:t xml:space="preserve"> </w:t>
      </w:r>
      <w:r w:rsidR="00E90851" w:rsidRPr="00E90851">
        <w:rPr>
          <w:rFonts w:cs="Arial"/>
          <w:sz w:val="28"/>
          <w:szCs w:val="28"/>
        </w:rPr>
        <w:t xml:space="preserve">[1, </w:t>
      </w:r>
      <w:r w:rsidR="00E90851">
        <w:rPr>
          <w:rFonts w:cs="Arial"/>
          <w:sz w:val="28"/>
          <w:szCs w:val="28"/>
          <w:lang w:val="uk-UA"/>
        </w:rPr>
        <w:t>с. 33</w:t>
      </w:r>
      <w:r w:rsidR="00E90851" w:rsidRPr="00E90851">
        <w:rPr>
          <w:rFonts w:cs="Arial"/>
          <w:sz w:val="28"/>
          <w:szCs w:val="28"/>
        </w:rPr>
        <w:t>]</w:t>
      </w:r>
      <w:r w:rsidR="00E90851">
        <w:rPr>
          <w:rFonts w:cs="Arial"/>
          <w:sz w:val="28"/>
          <w:szCs w:val="28"/>
          <w:lang w:val="uk-UA"/>
        </w:rPr>
        <w:t>.</w:t>
      </w:r>
    </w:p>
    <w:p w:rsidR="00E90851" w:rsidRDefault="00E90851" w:rsidP="00E90851">
      <w:pPr>
        <w:pStyle w:val="21"/>
        <w:spacing w:after="0" w:line="240" w:lineRule="auto"/>
        <w:ind w:left="0" w:firstLine="709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Діяльність органів студентського самоврядування розгортається в процесі комунікації всередині студентства, а також між студентством і адміністрацією університету або факультету. Це ставить перед учасниками даного процесу проблему….</w:t>
      </w:r>
    </w:p>
    <w:p w:rsidR="00E90851" w:rsidRDefault="00E90851" w:rsidP="00E90851">
      <w:pPr>
        <w:pStyle w:val="21"/>
        <w:spacing w:after="0" w:line="240" w:lineRule="auto"/>
        <w:ind w:left="0" w:firstLine="709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90851" w:rsidRDefault="00E90851" w:rsidP="00E90851">
      <w:pPr>
        <w:pStyle w:val="21"/>
        <w:spacing w:after="0" w:line="240" w:lineRule="auto"/>
        <w:ind w:left="0" w:firstLine="709"/>
        <w:rPr>
          <w:rFonts w:cs="Arial"/>
          <w:sz w:val="28"/>
          <w:szCs w:val="28"/>
          <w:lang w:val="uk-UA"/>
        </w:rPr>
      </w:pPr>
    </w:p>
    <w:p w:rsidR="00E90851" w:rsidRPr="00F3071C" w:rsidRDefault="00E90851" w:rsidP="00E90851">
      <w:pPr>
        <w:pStyle w:val="a5"/>
        <w:ind w:firstLine="567"/>
        <w:jc w:val="center"/>
        <w:rPr>
          <w:rFonts w:cs="Arial"/>
          <w:b/>
          <w:sz w:val="28"/>
          <w:szCs w:val="28"/>
          <w:lang w:val="uk-UA"/>
        </w:rPr>
      </w:pPr>
      <w:r>
        <w:rPr>
          <w:rFonts w:cs="Arial"/>
          <w:b/>
          <w:sz w:val="28"/>
          <w:szCs w:val="28"/>
          <w:lang w:val="uk-UA"/>
        </w:rPr>
        <w:t>Список використаних джерел</w:t>
      </w:r>
    </w:p>
    <w:p w:rsidR="00E90851" w:rsidRPr="00E90851" w:rsidRDefault="00E90851" w:rsidP="00E90851">
      <w:pPr>
        <w:pStyle w:val="a3"/>
        <w:numPr>
          <w:ilvl w:val="0"/>
          <w:numId w:val="2"/>
        </w:numPr>
        <w:rPr>
          <w:lang w:val="ru-RU"/>
        </w:rPr>
      </w:pPr>
      <w:proofErr w:type="spellStart"/>
      <w:r w:rsidRPr="00E90851">
        <w:rPr>
          <w:lang w:val="ru-RU"/>
        </w:rPr>
        <w:t>Хабермас</w:t>
      </w:r>
      <w:proofErr w:type="spellEnd"/>
      <w:r w:rsidRPr="00E90851">
        <w:rPr>
          <w:lang w:val="ru-RU"/>
        </w:rPr>
        <w:t xml:space="preserve"> Ю. Моральное сознание и коммуникативное действие / Пер. с нем. под ред. Д. В. </w:t>
      </w:r>
      <w:proofErr w:type="spellStart"/>
      <w:r w:rsidRPr="00E90851">
        <w:rPr>
          <w:lang w:val="ru-RU"/>
        </w:rPr>
        <w:t>Скляднева</w:t>
      </w:r>
      <w:proofErr w:type="spellEnd"/>
      <w:r w:rsidRPr="00E90851">
        <w:rPr>
          <w:lang w:val="ru-RU"/>
        </w:rPr>
        <w:t xml:space="preserve">, </w:t>
      </w:r>
      <w:proofErr w:type="spellStart"/>
      <w:r w:rsidRPr="00E90851">
        <w:rPr>
          <w:lang w:val="ru-RU"/>
        </w:rPr>
        <w:t>послесл</w:t>
      </w:r>
      <w:proofErr w:type="spellEnd"/>
      <w:r w:rsidRPr="00E90851">
        <w:rPr>
          <w:lang w:val="ru-RU"/>
        </w:rPr>
        <w:t>. Б. В. Маркова. — М.: Наука, 2000. — 380 с.</w:t>
      </w:r>
    </w:p>
    <w:p w:rsidR="00E90851" w:rsidRPr="00E90851" w:rsidRDefault="00E90851" w:rsidP="00E90851">
      <w:pPr>
        <w:pStyle w:val="a3"/>
        <w:numPr>
          <w:ilvl w:val="0"/>
          <w:numId w:val="2"/>
        </w:numPr>
        <w:rPr>
          <w:lang w:val="ru-RU"/>
        </w:rPr>
      </w:pPr>
      <w:r w:rsidRPr="00E90851">
        <w:rPr>
          <w:lang w:val="ru-RU"/>
        </w:rPr>
        <w:t xml:space="preserve">Социология: Энциклопедия /Сост.: </w:t>
      </w:r>
      <w:proofErr w:type="spellStart"/>
      <w:r w:rsidRPr="00E90851">
        <w:rPr>
          <w:lang w:val="ru-RU"/>
        </w:rPr>
        <w:t>А.А.Грицанов</w:t>
      </w:r>
      <w:proofErr w:type="spellEnd"/>
      <w:r w:rsidRPr="00E90851">
        <w:rPr>
          <w:lang w:val="ru-RU"/>
        </w:rPr>
        <w:t xml:space="preserve"> и др.- Мн.: Книжный дом, </w:t>
      </w:r>
      <w:proofErr w:type="gramStart"/>
      <w:r w:rsidRPr="00E90851">
        <w:rPr>
          <w:lang w:val="ru-RU"/>
        </w:rPr>
        <w:t>2003.-</w:t>
      </w:r>
      <w:proofErr w:type="gramEnd"/>
      <w:r w:rsidRPr="00E90851">
        <w:rPr>
          <w:lang w:val="ru-RU"/>
        </w:rPr>
        <w:t xml:space="preserve"> 13</w:t>
      </w:r>
      <w:bookmarkStart w:id="2" w:name="_GoBack"/>
      <w:bookmarkEnd w:id="2"/>
      <w:r w:rsidRPr="00E90851">
        <w:rPr>
          <w:lang w:val="ru-RU"/>
        </w:rPr>
        <w:t>12с.</w:t>
      </w:r>
    </w:p>
    <w:p w:rsidR="00E90851" w:rsidRPr="00E90851" w:rsidRDefault="00E90851" w:rsidP="00E90851">
      <w:pPr>
        <w:pStyle w:val="a3"/>
        <w:numPr>
          <w:ilvl w:val="0"/>
          <w:numId w:val="2"/>
        </w:numPr>
        <w:rPr>
          <w:lang w:val="ru-RU"/>
        </w:rPr>
      </w:pPr>
      <w:proofErr w:type="spellStart"/>
      <w:r w:rsidRPr="00E90851">
        <w:rPr>
          <w:lang w:val="ru-RU"/>
        </w:rPr>
        <w:t>Луман</w:t>
      </w:r>
      <w:proofErr w:type="spellEnd"/>
      <w:r w:rsidRPr="00E90851">
        <w:rPr>
          <w:lang w:val="ru-RU"/>
        </w:rPr>
        <w:t xml:space="preserve"> Н. Общество как социальная система. / Н. </w:t>
      </w:r>
      <w:proofErr w:type="spellStart"/>
      <w:r w:rsidRPr="00E90851">
        <w:rPr>
          <w:lang w:val="ru-RU"/>
        </w:rPr>
        <w:t>Луман</w:t>
      </w:r>
      <w:proofErr w:type="spellEnd"/>
      <w:r w:rsidRPr="00E90851">
        <w:rPr>
          <w:lang w:val="ru-RU"/>
        </w:rPr>
        <w:t xml:space="preserve">. / Пер. с нем. </w:t>
      </w:r>
      <w:proofErr w:type="spellStart"/>
      <w:r w:rsidRPr="00E90851">
        <w:rPr>
          <w:lang w:val="ru-RU"/>
        </w:rPr>
        <w:t>А.Антоновский</w:t>
      </w:r>
      <w:proofErr w:type="spellEnd"/>
      <w:r w:rsidRPr="00E90851">
        <w:rPr>
          <w:lang w:val="ru-RU"/>
        </w:rPr>
        <w:t>. – М.: Логос, 2004. – 232с.</w:t>
      </w:r>
    </w:p>
    <w:p w:rsidR="00E90851" w:rsidRPr="00F3071C" w:rsidRDefault="00E90851" w:rsidP="00E90851">
      <w:pPr>
        <w:pStyle w:val="21"/>
        <w:spacing w:after="0" w:line="240" w:lineRule="auto"/>
        <w:ind w:left="0" w:firstLine="709"/>
        <w:rPr>
          <w:rFonts w:cs="Arial"/>
          <w:sz w:val="28"/>
          <w:szCs w:val="28"/>
          <w:lang w:val="uk-UA"/>
        </w:rPr>
      </w:pPr>
    </w:p>
    <w:p w:rsidR="00984193" w:rsidRDefault="00984193"/>
    <w:sectPr w:rsidR="00984193" w:rsidSect="00B10C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503"/>
    <w:multiLevelType w:val="hybridMultilevel"/>
    <w:tmpl w:val="E7BA6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57B0C"/>
    <w:multiLevelType w:val="hybridMultilevel"/>
    <w:tmpl w:val="A81E2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E4"/>
    <w:rsid w:val="001B620C"/>
    <w:rsid w:val="00984193"/>
    <w:rsid w:val="00B10CE4"/>
    <w:rsid w:val="00E9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5AC9"/>
  <w15:chartTrackingRefBased/>
  <w15:docId w15:val="{42B90407-B6C3-425B-8E9A-BB2FA3A2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Standart"/>
    <w:qFormat/>
    <w:rsid w:val="00B10CE4"/>
    <w:pPr>
      <w:spacing w:after="0" w:line="240" w:lineRule="auto"/>
      <w:jc w:val="both"/>
    </w:pPr>
    <w:rPr>
      <w:rFonts w:ascii="Arial" w:eastAsia="Times New Roman" w:hAnsi="Arial" w:cs="Times New Roman"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nhideWhenUsed/>
    <w:qFormat/>
    <w:rsid w:val="00B10CE4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0CE4"/>
    <w:rPr>
      <w:rFonts w:ascii="Arial" w:eastAsiaTheme="majorEastAsia" w:hAnsi="Arial" w:cstheme="majorBidi"/>
      <w:b/>
      <w:sz w:val="28"/>
      <w:szCs w:val="26"/>
      <w:lang w:val="uk-UA" w:eastAsia="uk-UA"/>
    </w:rPr>
  </w:style>
  <w:style w:type="paragraph" w:styleId="21">
    <w:name w:val="Body Text Indent 2"/>
    <w:basedOn w:val="a"/>
    <w:link w:val="22"/>
    <w:rsid w:val="00B10CE4"/>
    <w:pPr>
      <w:spacing w:after="120" w:line="480" w:lineRule="auto"/>
      <w:ind w:left="283"/>
    </w:pPr>
    <w:rPr>
      <w:rFonts w:eastAsia="Calibri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B10CE4"/>
    <w:rPr>
      <w:rFonts w:ascii="Arial" w:eastAsia="Calibri" w:hAnsi="Arial" w:cs="Times New Roman"/>
      <w:sz w:val="20"/>
      <w:szCs w:val="20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E9085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90851"/>
    <w:rPr>
      <w:rFonts w:ascii="Arial" w:eastAsia="Times New Roman" w:hAnsi="Arial" w:cs="Times New Roman"/>
      <w:sz w:val="28"/>
      <w:szCs w:val="24"/>
      <w:lang w:val="uk-UA" w:eastAsia="uk-UA"/>
    </w:rPr>
  </w:style>
  <w:style w:type="paragraph" w:styleId="a5">
    <w:name w:val="footnote text"/>
    <w:aliases w:val="Fußnote,Footnote Text_1,Текст сноски-FN,Footnote Text Char Знак Знак,Footnote Text Char Знак,Текст сноски Знак1,Текст сноски Знак1 Знак Знак,Fu?note Знак Знак Знак,FuЯnote Знак Знак Знак,Текст сноски Знак Знак Знак Знак,Знак"/>
    <w:basedOn w:val="a"/>
    <w:link w:val="a6"/>
    <w:rsid w:val="00E90851"/>
    <w:rPr>
      <w:rFonts w:eastAsia="Calibri"/>
      <w:sz w:val="20"/>
      <w:szCs w:val="20"/>
      <w:lang w:val="ru-RU" w:eastAsia="ru-RU"/>
    </w:rPr>
  </w:style>
  <w:style w:type="character" w:customStyle="1" w:styleId="a6">
    <w:name w:val="Текст сноски Знак"/>
    <w:aliases w:val="Fußnote Знак,Footnote Text_1 Знак,Текст сноски-FN Знак,Footnote Text Char Знак Знак Знак,Footnote Text Char Знак Знак1,Текст сноски Знак1 Знак,Текст сноски Знак1 Знак Знак Знак,Fu?note Знак Знак Знак Знак,FuЯnote Знак Знак Знак Знак"/>
    <w:basedOn w:val="a0"/>
    <w:link w:val="a5"/>
    <w:rsid w:val="00E90851"/>
    <w:rPr>
      <w:rFonts w:ascii="Arial" w:eastAsia="Calibri" w:hAnsi="Arial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 Art</dc:creator>
  <cp:keywords/>
  <dc:description/>
  <cp:lastModifiedBy>Dei Art</cp:lastModifiedBy>
  <cp:revision>1</cp:revision>
  <dcterms:created xsi:type="dcterms:W3CDTF">2019-10-21T14:20:00Z</dcterms:created>
  <dcterms:modified xsi:type="dcterms:W3CDTF">2019-10-21T14:42:00Z</dcterms:modified>
</cp:coreProperties>
</file>