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E7" w:rsidRDefault="001C52E7" w:rsidP="001C52E7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  <w:t xml:space="preserve">КИЇВСЬКИЙ НАЦІОНАЛЬНИЙ УНІВЕРСИТЕТ </w:t>
      </w: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  <w:t>ІМЕНІ ТАРАСА ШЕВЧЕНКА</w:t>
      </w: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18"/>
          <w:szCs w:val="18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ar-SA"/>
        </w:rPr>
        <w:t>Факультет соціології</w:t>
      </w: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val="uk-UA" w:eastAsia="ar-SA"/>
        </w:rPr>
      </w:pPr>
    </w:p>
    <w:p w:rsidR="001C52E7" w:rsidRDefault="001C52E7" w:rsidP="001C52E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Кафедра соціальних структукр та соціальних відносин</w:t>
      </w:r>
    </w:p>
    <w:p w:rsidR="001C52E7" w:rsidRDefault="001C52E7" w:rsidP="001C52E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  <w:t>«ЗАТВЕРДЖУЮ»</w:t>
      </w:r>
    </w:p>
    <w:p w:rsidR="001C52E7" w:rsidRDefault="001C52E7" w:rsidP="001C52E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val="uk-UA" w:eastAsia="ar-SA"/>
        </w:rPr>
      </w:pPr>
      <w:r>
        <w:rPr>
          <w:rFonts w:ascii="Times New Roman" w:eastAsia="Times New Roman" w:hAnsi="Times New Roman" w:cs="Calibri"/>
          <w:bCs/>
          <w:color w:val="191919"/>
          <w:spacing w:val="-8"/>
          <w:lang w:val="uk-UA" w:eastAsia="ar-SA"/>
        </w:rPr>
        <w:t xml:space="preserve">Заступник </w:t>
      </w:r>
      <w:r>
        <w:rPr>
          <w:rFonts w:ascii="Times New Roman" w:eastAsia="Times New Roman" w:hAnsi="Times New Roman" w:cs="Calibri"/>
          <w:bCs/>
          <w:color w:val="191919"/>
          <w:spacing w:val="-8"/>
          <w:lang w:val="ru-RU" w:eastAsia="ar-SA"/>
        </w:rPr>
        <w:t>декана</w:t>
      </w:r>
    </w:p>
    <w:p w:rsidR="001C52E7" w:rsidRDefault="001C52E7" w:rsidP="001C52E7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4"/>
          <w:lang w:val="uk-UA" w:eastAsia="ar-SA"/>
        </w:rPr>
        <w:t>______________________</w:t>
      </w:r>
    </w:p>
    <w:p w:rsidR="001C52E7" w:rsidRDefault="001C52E7" w:rsidP="001C52E7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«____»____________20__ року</w:t>
      </w: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val="uk-UA" w:eastAsia="ar-SA"/>
        </w:rPr>
      </w:pPr>
    </w:p>
    <w:p w:rsidR="001C52E7" w:rsidRPr="00DD4511" w:rsidRDefault="001C52E7" w:rsidP="001C52E7">
      <w:pPr>
        <w:keepNext/>
        <w:tabs>
          <w:tab w:val="num" w:pos="576"/>
        </w:tabs>
        <w:suppressAutoHyphens/>
        <w:spacing w:after="0" w:line="240" w:lineRule="auto"/>
        <w:ind w:hanging="576"/>
        <w:jc w:val="center"/>
        <w:outlineLvl w:val="1"/>
        <w:rPr>
          <w:rFonts w:ascii="Times New Roman" w:eastAsia="Times New Roman" w:hAnsi="Times New Roman" w:cs="Calibri"/>
          <w:bCs/>
          <w:sz w:val="32"/>
          <w:szCs w:val="32"/>
          <w:lang w:val="ru-RU" w:eastAsia="ar-SA"/>
        </w:rPr>
      </w:pPr>
      <w:r w:rsidRPr="00DD4511">
        <w:rPr>
          <w:rFonts w:ascii="Times New Roman" w:eastAsia="Times New Roman" w:hAnsi="Times New Roman" w:cs="Calibri"/>
          <w:b/>
          <w:bCs/>
          <w:sz w:val="32"/>
          <w:szCs w:val="32"/>
          <w:lang w:val="uk-UA" w:eastAsia="ar-SA"/>
        </w:rPr>
        <w:t>РОБОЧА  ПРОГРАМА  НАВЧАЛЬНОЇ  ДИСЦИПЛІНИ</w:t>
      </w:r>
    </w:p>
    <w:p w:rsidR="001C52E7" w:rsidRPr="00DD4511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32"/>
          <w:szCs w:val="32"/>
          <w:lang w:val="uk-UA" w:eastAsia="ar-SA"/>
        </w:rPr>
      </w:pPr>
      <w:r w:rsidRPr="00DD4511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«СОЦІОЛОГІЯ СПОЖИВАННЯ»</w:t>
      </w: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для студентів</w:t>
      </w: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 xml:space="preserve">галузь знань </w:t>
      </w:r>
      <w:r>
        <w:rPr>
          <w:rFonts w:ascii="Times New Roman" w:eastAsia="Times New Roman" w:hAnsi="Times New Roman" w:cs="Calibri"/>
          <w:lang w:val="uk-UA" w:eastAsia="ar-SA"/>
        </w:rPr>
        <w:tab/>
        <w:t>05 Соціальні та поведінкові науки</w:t>
      </w:r>
    </w:p>
    <w:p w:rsidR="001C52E7" w:rsidRDefault="001C52E7" w:rsidP="001C52E7">
      <w:pPr>
        <w:suppressAutoHyphens/>
        <w:spacing w:after="0" w:line="216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спеціальність</w:t>
      </w:r>
      <w:r>
        <w:rPr>
          <w:rFonts w:ascii="Times New Roman" w:eastAsia="Times New Roman" w:hAnsi="Times New Roman" w:cs="Calibri"/>
          <w:lang w:val="uk-UA" w:eastAsia="ar-SA"/>
        </w:rPr>
        <w:tab/>
        <w:t>054 «Соціологія»</w:t>
      </w: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освітній рівень</w:t>
      </w:r>
      <w:r>
        <w:rPr>
          <w:rFonts w:ascii="Times New Roman" w:eastAsia="Times New Roman" w:hAnsi="Times New Roman" w:cs="Calibri"/>
          <w:lang w:val="uk-UA" w:eastAsia="ar-SA"/>
        </w:rPr>
        <w:tab/>
        <w:t>бакалавр</w:t>
      </w: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освітня програма</w:t>
      </w:r>
      <w:r>
        <w:rPr>
          <w:rFonts w:ascii="Times New Roman" w:eastAsia="Times New Roman" w:hAnsi="Times New Roman" w:cs="Calibri"/>
          <w:lang w:val="uk-UA" w:eastAsia="ar-SA"/>
        </w:rPr>
        <w:tab/>
        <w:t>«Соціальні технології»</w:t>
      </w: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спеціалізація</w:t>
      </w:r>
      <w:r>
        <w:rPr>
          <w:rFonts w:ascii="Times New Roman" w:eastAsia="Times New Roman" w:hAnsi="Times New Roman" w:cs="Calibri"/>
          <w:lang w:val="uk-UA" w:eastAsia="ar-SA"/>
        </w:rPr>
        <w:tab/>
        <w:t>Технології економічної сфери: менеджмент та маркетинг</w:t>
      </w:r>
    </w:p>
    <w:p w:rsidR="001C52E7" w:rsidRDefault="001C52E7" w:rsidP="001C52E7">
      <w:pPr>
        <w:suppressAutoHyphens/>
        <w:spacing w:after="0" w:line="216" w:lineRule="auto"/>
        <w:ind w:firstLine="426"/>
        <w:rPr>
          <w:rFonts w:ascii="Times New Roman" w:eastAsia="Times New Roman" w:hAnsi="Times New Roman" w:cs="Calibri"/>
          <w:i/>
          <w:sz w:val="16"/>
          <w:szCs w:val="16"/>
          <w:lang w:val="uk-UA" w:eastAsia="ar-SA"/>
        </w:rPr>
      </w:pPr>
    </w:p>
    <w:p w:rsidR="001C52E7" w:rsidRDefault="001C52E7" w:rsidP="001C52E7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 xml:space="preserve">вид дисципліни </w:t>
      </w:r>
      <w:r>
        <w:rPr>
          <w:rFonts w:ascii="Times New Roman" w:eastAsia="Times New Roman" w:hAnsi="Times New Roman" w:cs="Calibri"/>
          <w:lang w:val="uk-UA" w:eastAsia="ar-SA"/>
        </w:rPr>
        <w:tab/>
        <w:t>вибіркова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Форма навчання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  <w:t>денна</w:t>
      </w:r>
    </w:p>
    <w:p w:rsidR="001C52E7" w:rsidRDefault="001C52E7" w:rsidP="001C52E7">
      <w:pPr>
        <w:suppressAutoHyphens/>
        <w:spacing w:before="40" w:after="0" w:line="240" w:lineRule="auto"/>
        <w:ind w:left="3969"/>
        <w:rPr>
          <w:rFonts w:ascii="Times New Roman" w:eastAsia="Times New Roman" w:hAnsi="Times New Roman" w:cs="Calibri"/>
          <w:sz w:val="24"/>
          <w:szCs w:val="24"/>
          <w:u w:val="single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Навчальний рік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  <w:t>2017/2018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Семестр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  <w:t>3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Кількість кредитів ЕСТS 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  <w:t>3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Мова викладання, навчання 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та оцінювання 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  <w:t>українська</w:t>
      </w:r>
    </w:p>
    <w:p w:rsidR="001C52E7" w:rsidRDefault="001C52E7" w:rsidP="001C52E7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Форма заключного контролю 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ab/>
        <w:t>залік</w:t>
      </w:r>
    </w:p>
    <w:p w:rsidR="001C52E7" w:rsidRDefault="001C52E7" w:rsidP="001C52E7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Викладачі: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Набруско І.Ю. </w:t>
      </w:r>
    </w:p>
    <w:p w:rsidR="001C52E7" w:rsidRDefault="001C52E7" w:rsidP="001C52E7">
      <w:pPr>
        <w:suppressAutoHyphens/>
        <w:spacing w:before="80" w:after="0" w:line="240" w:lineRule="auto"/>
        <w:rPr>
          <w:rFonts w:ascii="Times New Roman" w:eastAsia="Times New Roman" w:hAnsi="Times New Roman" w:cs="Calibri"/>
          <w:i/>
          <w:sz w:val="16"/>
          <w:szCs w:val="16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ind w:left="1985"/>
        <w:jc w:val="both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Пролонговано: на 20__/20__ н.р. __________(___________) «__»___ 20__р.</w:t>
      </w:r>
    </w:p>
    <w:p w:rsidR="001C52E7" w:rsidRDefault="001C52E7" w:rsidP="001C52E7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Calibri"/>
          <w:vertAlign w:val="superscript"/>
          <w:lang w:val="uk-UA" w:eastAsia="ar-SA"/>
        </w:rPr>
      </w:pPr>
      <w:r>
        <w:rPr>
          <w:rFonts w:ascii="Times New Roman" w:eastAsia="Times New Roman" w:hAnsi="Times New Roman" w:cs="Calibri"/>
          <w:vertAlign w:val="superscript"/>
          <w:lang w:val="uk-UA" w:eastAsia="ar-SA"/>
        </w:rPr>
        <w:t>(підпис, ПІБ, дата)</w:t>
      </w:r>
    </w:p>
    <w:p w:rsidR="001C52E7" w:rsidRDefault="001C52E7" w:rsidP="001C52E7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lang w:val="uk-UA" w:eastAsia="ar-SA"/>
        </w:rPr>
      </w:pPr>
      <w:r>
        <w:rPr>
          <w:rFonts w:ascii="Times New Roman" w:eastAsia="Times New Roman" w:hAnsi="Times New Roman" w:cs="Calibri"/>
          <w:lang w:val="uk-UA" w:eastAsia="ar-SA"/>
        </w:rPr>
        <w:t>на 20__/20__ н.р. __________(___________) «__»___ 20__р.</w:t>
      </w:r>
    </w:p>
    <w:p w:rsidR="001C52E7" w:rsidRDefault="001C52E7" w:rsidP="001C52E7">
      <w:pPr>
        <w:suppressAutoHyphens/>
        <w:spacing w:after="0" w:line="240" w:lineRule="auto"/>
        <w:ind w:left="3544"/>
        <w:jc w:val="center"/>
        <w:rPr>
          <w:rFonts w:ascii="Times New Roman" w:eastAsia="Times New Roman" w:hAnsi="Times New Roman" w:cs="Calibri"/>
          <w:vertAlign w:val="superscript"/>
          <w:lang w:val="uk-UA" w:eastAsia="ar-SA"/>
        </w:rPr>
      </w:pPr>
      <w:r>
        <w:rPr>
          <w:rFonts w:ascii="Times New Roman" w:eastAsia="Times New Roman" w:hAnsi="Times New Roman" w:cs="Calibri"/>
          <w:vertAlign w:val="superscript"/>
          <w:lang w:val="uk-UA" w:eastAsia="ar-SA"/>
        </w:rPr>
        <w:t>(підпис, ПІБ, дата)</w:t>
      </w:r>
    </w:p>
    <w:p w:rsidR="001C52E7" w:rsidRDefault="001C52E7" w:rsidP="001C52E7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vertAlign w:val="superscript"/>
          <w:lang w:val="uk-UA" w:eastAsia="ar-SA"/>
        </w:rPr>
      </w:pPr>
    </w:p>
    <w:p w:rsidR="001C52E7" w:rsidRDefault="001C52E7" w:rsidP="001C52E7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</w:p>
    <w:p w:rsidR="001C52E7" w:rsidRDefault="001C52E7" w:rsidP="001C52E7">
      <w:pPr>
        <w:keepNext/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>КИЇВ – 2017</w:t>
      </w:r>
    </w:p>
    <w:p w:rsidR="001C52E7" w:rsidRDefault="001C52E7" w:rsidP="001C52E7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br w:type="page"/>
      </w:r>
    </w:p>
    <w:p w:rsidR="001C52E7" w:rsidRDefault="001C52E7" w:rsidP="001C52E7">
      <w:pPr>
        <w:spacing w:after="0" w:line="240" w:lineRule="auto"/>
        <w:jc w:val="both"/>
        <w:rPr>
          <w:rFonts w:ascii="Times New Roman" w:eastAsia="Times New Roman" w:hAnsi="Times New Roman"/>
          <w:noProof/>
          <w:lang w:val="uk-UA" w:eastAsia="ru-RU"/>
        </w:rPr>
      </w:pPr>
      <w:r>
        <w:rPr>
          <w:rFonts w:ascii="Times New Roman" w:eastAsia="Times New Roman" w:hAnsi="Times New Roman"/>
          <w:noProof/>
          <w:lang w:val="uk-UA" w:eastAsia="ru-RU"/>
        </w:rPr>
        <w:lastRenderedPageBreak/>
        <w:t>Розробник:</w:t>
      </w:r>
      <w:r>
        <w:rPr>
          <w:rFonts w:ascii="Times New Roman" w:eastAsia="Times New Roman" w:hAnsi="Times New Roman"/>
          <w:noProof/>
          <w:lang w:val="uk-UA"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Набруско І.Ю. кандидат філософських наук, доцент, доцент </w:t>
      </w:r>
      <w:r>
        <w:rPr>
          <w:rFonts w:ascii="Times New Roman" w:eastAsia="Times New Roman" w:hAnsi="Times New Roman"/>
          <w:noProof/>
          <w:lang w:val="uk-UA" w:eastAsia="ru-RU"/>
        </w:rPr>
        <w:t>кафедри соціальних структур та соціальних відносин</w:t>
      </w:r>
    </w:p>
    <w:p w:rsidR="001C52E7" w:rsidRDefault="001C52E7" w:rsidP="001C52E7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ind w:left="4536"/>
        <w:rPr>
          <w:rFonts w:ascii="Times New Roman" w:eastAsia="Times New Roman" w:hAnsi="Times New Roman" w:cs="Calibri"/>
          <w:spacing w:val="-6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pacing w:val="-6"/>
          <w:sz w:val="24"/>
          <w:szCs w:val="24"/>
          <w:lang w:val="uk-UA" w:eastAsia="ar-SA"/>
        </w:rPr>
        <w:t>ЗАТВЕРДЖЕНО</w:t>
      </w:r>
    </w:p>
    <w:p w:rsidR="001C52E7" w:rsidRDefault="001C52E7" w:rsidP="001C52E7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Зав. кафедри соціальних структур та соціальних відносин</w:t>
      </w:r>
    </w:p>
    <w:p w:rsidR="001C52E7" w:rsidRDefault="001C52E7" w:rsidP="001C52E7">
      <w:pPr>
        <w:suppressAutoHyphens/>
        <w:spacing w:before="120"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__________________ (Куценко О.Д.)</w:t>
      </w:r>
    </w:p>
    <w:p w:rsidR="001C52E7" w:rsidRDefault="001C52E7" w:rsidP="001C52E7">
      <w:pPr>
        <w:suppressAutoHyphens/>
        <w:spacing w:after="0" w:line="240" w:lineRule="auto"/>
        <w:ind w:left="4962"/>
        <w:rPr>
          <w:rFonts w:ascii="Times New Roman" w:eastAsia="Times New Roman" w:hAnsi="Times New Roman" w:cs="Calibri"/>
          <w:sz w:val="16"/>
          <w:szCs w:val="16"/>
          <w:lang w:val="uk-UA"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>(підпис)</w:t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  <w:t xml:space="preserve">       (прізвище та ініціали)</w:t>
      </w:r>
    </w:p>
    <w:p w:rsidR="001C52E7" w:rsidRDefault="001C52E7" w:rsidP="001C52E7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Протокол № ___ від «____» _________ 20___ р.</w:t>
      </w: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Схвалено науково - методичною комісією факультету соціології</w:t>
      </w:r>
    </w:p>
    <w:p w:rsidR="00DD4511" w:rsidRPr="00DD4511" w:rsidRDefault="00DD4511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val="en-US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Протокол від «____» _____________ 20___ року №___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Голова науково-методичної комісії  ____________________ (________________)</w:t>
      </w:r>
    </w:p>
    <w:p w:rsidR="001C52E7" w:rsidRDefault="001C52E7" w:rsidP="001C52E7">
      <w:pPr>
        <w:suppressAutoHyphens/>
        <w:spacing w:after="0" w:line="240" w:lineRule="auto"/>
        <w:ind w:left="3828" w:firstLine="420"/>
        <w:rPr>
          <w:rFonts w:ascii="Times New Roman" w:eastAsia="Times New Roman" w:hAnsi="Times New Roman" w:cs="Calibri"/>
          <w:sz w:val="16"/>
          <w:szCs w:val="16"/>
          <w:lang w:val="uk-UA"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>(підпис)</w:t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</w:r>
      <w:r>
        <w:rPr>
          <w:rFonts w:ascii="Times New Roman" w:eastAsia="Times New Roman" w:hAnsi="Times New Roman" w:cs="Calibri"/>
          <w:sz w:val="16"/>
          <w:szCs w:val="16"/>
          <w:lang w:val="uk-UA" w:eastAsia="ar-SA"/>
        </w:rPr>
        <w:tab/>
        <w:t xml:space="preserve"> (прізвище та ініціали)</w:t>
      </w: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«_____» _________________ 20___ року</w:t>
      </w: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val="uk-UA" w:eastAsia="ar-SA"/>
        </w:rPr>
      </w:pPr>
    </w:p>
    <w:p w:rsidR="001C52E7" w:rsidRDefault="001C52E7" w:rsidP="001C52E7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val="uk-UA" w:eastAsia="ar-SA"/>
        </w:rPr>
      </w:pPr>
    </w:p>
    <w:p w:rsidR="001C52E7" w:rsidRDefault="001C52E7" w:rsidP="001C52E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1. Мета дисципліни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формування у студентів знання та вмінь здійснювати соціологічну інтерпретацію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феномену споживання як одного з основних </w:t>
      </w:r>
      <w:r>
        <w:rPr>
          <w:rFonts w:ascii="Times New Roman" w:hAnsi="Times New Roman"/>
          <w:sz w:val="24"/>
          <w:szCs w:val="24"/>
          <w:lang w:val="uk-UA"/>
        </w:rPr>
        <w:t xml:space="preserve">засобів об’єктивізації способу життя людини сучасного суспільства,  </w:t>
      </w:r>
      <w:r>
        <w:rPr>
          <w:rFonts w:ascii="Times New Roman" w:hAnsi="Times New Roman"/>
          <w:lang w:val="uk-UA"/>
        </w:rPr>
        <w:t xml:space="preserve">процесів </w:t>
      </w:r>
      <w:r>
        <w:rPr>
          <w:rFonts w:ascii="Times New Roman" w:hAnsi="Times New Roman"/>
          <w:sz w:val="24"/>
          <w:szCs w:val="24"/>
          <w:lang w:val="uk-UA"/>
        </w:rPr>
        <w:t>взаємодії в контексті соціальної життєдіяльності людей,</w:t>
      </w:r>
      <w:r>
        <w:rPr>
          <w:rFonts w:ascii="Times New Roman" w:hAnsi="Times New Roman"/>
          <w:lang w:val="uk-UA"/>
        </w:rPr>
        <w:t xml:space="preserve"> забезпеченню потреб та досягнення соціальних цілей. 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2. Попередні вимоги до опанування або вибору навчальної дисципліни (</w:t>
      </w:r>
      <w:r>
        <w:rPr>
          <w:rFonts w:ascii="Times New Roman" w:eastAsia="Times New Roman" w:hAnsi="Times New Roman" w:cs="Calibri"/>
          <w:b/>
          <w:i/>
          <w:iCs/>
          <w:sz w:val="24"/>
          <w:szCs w:val="24"/>
          <w:lang w:val="uk-UA" w:eastAsia="ar-SA"/>
        </w:rPr>
        <w:t>за наявності</w:t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)</w:t>
      </w:r>
      <w:r>
        <w:rPr>
          <w:rFonts w:ascii="Times New Roman" w:eastAsia="Times New Roman" w:hAnsi="Times New Roman" w:cs="Calibri"/>
          <w:i/>
          <w:iCs/>
          <w:sz w:val="28"/>
          <w:szCs w:val="28"/>
          <w:vertAlign w:val="superscript"/>
          <w:lang w:val="uk-UA" w:eastAsia="ar-SA"/>
        </w:rPr>
        <w:footnoteReference w:id="1"/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:</w:t>
      </w:r>
    </w:p>
    <w:p w:rsidR="001C52E7" w:rsidRDefault="001C52E7" w:rsidP="001C52E7">
      <w:pPr>
        <w:suppressAutoHyphens/>
        <w:spacing w:before="120" w:after="0" w:line="240" w:lineRule="auto"/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  <w:t>1. Успішне опанування курсу передбачає попереднє знання  студентами основ соціології та вміння працювати з соціологічними даними</w:t>
      </w:r>
    </w:p>
    <w:p w:rsidR="001C52E7" w:rsidRDefault="001C52E7" w:rsidP="001C52E7">
      <w:pPr>
        <w:suppressAutoHyphens/>
        <w:spacing w:before="120" w:after="0" w:line="240" w:lineRule="auto"/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  <w:t>2. Студенти мають володіти навичками читання і критичного аналізу соціальної інформації й текстів, опублікованих українською, англійською та російською мовами.</w:t>
      </w:r>
    </w:p>
    <w:p w:rsidR="001C52E7" w:rsidRDefault="001C52E7" w:rsidP="001C52E7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>3. Анотація навчальної дисципліни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: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  <w:t>Дисципліна має на меті системне оволодіння студентами основ соціологічного дослідження феномену споживання в сучасному суспільстві. Курс орієнтований на ознайомлення студентів з класичними та сучасними теоріями суспільства споживання, методами соціологічного дослідження поведінки споживачів, формування у студентів наукового розуміння соціального підґрунтя практик споживання.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sz w:val="24"/>
          <w:lang w:val="uk-UA"/>
        </w:rPr>
      </w:pPr>
      <w:r>
        <w:rPr>
          <w:rFonts w:ascii="Times New Roman" w:eastAsia="Times New Roman" w:hAnsi="Times New Roman" w:cs="Calibri"/>
          <w:iCs/>
          <w:sz w:val="24"/>
          <w:szCs w:val="24"/>
          <w:lang w:val="uk-UA" w:eastAsia="ar-SA"/>
        </w:rPr>
        <w:t>Цей курс акумулює теоретичні та практичні знання про різні аспекти споживчої діяльності, спрямованої  на задоволення та ідентифікацію потреб та інтересів соціальних груп</w:t>
      </w:r>
      <w:r>
        <w:rPr>
          <w:sz w:val="24"/>
          <w:lang w:val="uk-UA"/>
        </w:rPr>
        <w:t>.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4. Завдання (навчальні цілі)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: 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Основними завданнями вивчення дисципліни є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Вивчення особливостей соціологічного підходу до аналізу споживання як однієї з основних соціальних практик сьогодення, 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Розкриття особливостей функціонування споживання в трансформаційних умовах сучасного соціуму, 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Сформувати навички</w:t>
      </w:r>
      <w:r>
        <w:rPr>
          <w:rFonts w:ascii="Times New Roman" w:hAnsi="Times New Roman"/>
          <w:sz w:val="24"/>
          <w:szCs w:val="24"/>
          <w:lang w:val="uk-UA"/>
        </w:rPr>
        <w:t xml:space="preserve"> аналізу механізмів формування і трансляції системи цінностей і соціально схвалених стилів споживання в умовах сучасного суспільства.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Це спрямовано на формування компетентностей: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-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ab/>
        <w:t>Здатність до аргументованого представлення власної думки, компетентної та толерантної дискусії з опонентами.  (зк6)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-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ab/>
        <w:t>Здатність виявляти та аналізувати соціальні зміни, що відбуваються в Україні та світі в цілому, їхні чинники та можливі наслідки. (фк3)</w:t>
      </w:r>
    </w:p>
    <w:p w:rsidR="001C52E7" w:rsidRP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-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ab/>
      </w:r>
      <w:r w:rsidR="00D6576B" w:rsidRPr="00D657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Вміння  використовувати соціальні технології  для аналізу соціальних потреб різних суспільних груп та  розвитку соціальної сфери суспільства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(фк</w:t>
      </w:r>
      <w:r w:rsidR="00D6576B" w:rsidRPr="00D657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24</w:t>
      </w: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)</w:t>
      </w:r>
    </w:p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-</w:t>
      </w: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ab/>
      </w:r>
      <w:r w:rsidR="00D6576B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навички застосування соціальних технологій для управління соціально-економічними відносинами</w:t>
      </w: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(фк</w:t>
      </w:r>
      <w:r w:rsidR="00D6576B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25</w:t>
      </w:r>
      <w:r w:rsidRPr="001C52E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)</w:t>
      </w:r>
    </w:p>
    <w:p w:rsidR="001C52E7" w:rsidRDefault="001C52E7" w:rsidP="001C52E7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5. Результати навчання за дисципліною: </w:t>
      </w:r>
      <w:r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(описуються з детальною достовірністю для розробки заходів оцінювання)</w:t>
      </w: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4111"/>
        <w:gridCol w:w="2268"/>
        <w:gridCol w:w="1701"/>
        <w:gridCol w:w="1276"/>
      </w:tblGrid>
      <w:tr w:rsidR="001C52E7" w:rsidRPr="00DD4511" w:rsidTr="001C52E7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Результат навчання</w:t>
            </w:r>
          </w:p>
          <w:p w:rsidR="001C52E7" w:rsidRDefault="001C52E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 знати; 2. вміти; 3. комунікація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uk-UA" w:eastAsia="ru-RU"/>
              </w:rPr>
              <w:footnoteReference w:customMarkFollows="1" w:id="2"/>
              <w:sym w:font="Symbol" w:char="F02A"/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; 4. автономність та відповідальність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uk-UA" w:eastAsia="ru-RU"/>
              </w:rPr>
              <w:footnoteReference w:customMarkFollows="1" w:id="3"/>
              <w:sym w:font="Symbol" w:char="F02A"/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lang w:val="uk-UA" w:eastAsia="ru-RU"/>
              </w:rPr>
              <w:t>Методи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lang w:val="uk-UA" w:eastAsia="ru-RU"/>
              </w:rPr>
              <w:t>Методи оцінювання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lang w:val="uk-UA" w:eastAsia="ru-RU"/>
              </w:rPr>
              <w:t xml:space="preserve">Відсоток у підсумковій оцінці з </w:t>
            </w:r>
            <w:r>
              <w:rPr>
                <w:rFonts w:ascii="Times New Roman" w:eastAsia="Times New Roman" w:hAnsi="Times New Roman"/>
                <w:i/>
                <w:lang w:val="uk-UA" w:eastAsia="ru-RU"/>
              </w:rPr>
              <w:lastRenderedPageBreak/>
              <w:t>дисципліни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Знання сучасних теоретичних та методологічних підходів до аналізу споживання як соціального явища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Лекції, семінари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Опитування,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МКР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25%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Знання основних теоретичних парадигм, що розкривають базові поняття та категорії соціології споживання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Лекції, семінари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Опитування,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тестування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МКР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15%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>Вміння аналізувати соціальний контекст споживання у його матеріальних і символічно-репрезентативних елементах в рамках основних теоретичних парадигм соціології</w:t>
            </w:r>
            <w:r>
              <w:rPr>
                <w:rFonts w:ascii="Times New Roman" w:eastAsia="Times New Roman" w:hAnsi="Times New Roman"/>
                <w:i/>
                <w:color w:val="000000"/>
                <w:spacing w:val="-6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Лекції, практичні завдання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10%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Вміти адаптувати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основні параметри дослідження споживання як складов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ої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системи соціальної взаємодії до умов повсякденного життя сучасного суспільства;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Лекції, семінари, практичні завдання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Опитування,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амостійна 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25%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>Демонструвати навички аргументованого представлення власної думки, компетентної та толерантної дискусії з опонентами.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uk-UA" w:eastAsia="ru-RU"/>
              </w:rPr>
              <w:t>Лекція, Творчі завдання, семінари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Презентація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10%</w:t>
            </w:r>
          </w:p>
        </w:tc>
      </w:tr>
      <w:tr w:rsidR="001C52E7" w:rsidTr="001C52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Вміння використовувати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емпіричні дослідження  щодо різних аспектів та сфер споживання в сучасному суспільстві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Лекції, практичні завдання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Самостійна робота, тестування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15%</w:t>
            </w:r>
          </w:p>
        </w:tc>
      </w:tr>
    </w:tbl>
    <w:p w:rsidR="001C52E7" w:rsidRDefault="001C52E7" w:rsidP="001C52E7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C52E7" w:rsidRDefault="001C52E7" w:rsidP="001C52E7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6. Співвідношення результатів навчання дисципліни із програмними результатами навчання </w:t>
      </w:r>
      <w:r>
        <w:rPr>
          <w:rFonts w:ascii="Times New Roman" w:eastAsia="Times New Roman" w:hAnsi="Times New Roman"/>
          <w:i/>
          <w:lang w:val="uk-UA" w:eastAsia="ru-RU"/>
        </w:rPr>
        <w:t>(необов’язково для вибіркових дисциплін)</w:t>
      </w:r>
    </w:p>
    <w:tbl>
      <w:tblPr>
        <w:tblW w:w="10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2"/>
        <w:gridCol w:w="568"/>
        <w:gridCol w:w="567"/>
        <w:gridCol w:w="567"/>
        <w:gridCol w:w="567"/>
        <w:gridCol w:w="567"/>
        <w:gridCol w:w="567"/>
      </w:tblGrid>
      <w:tr w:rsidR="001C52E7" w:rsidTr="001C52E7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1C52E7" w:rsidRDefault="001C52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Результати навчання дисципліни </w:t>
            </w:r>
          </w:p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4.1</w:t>
            </w:r>
          </w:p>
        </w:tc>
      </w:tr>
      <w:tr w:rsidR="001C52E7" w:rsidTr="001C52E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 w:rsidP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  <w:r w:rsidR="00530017">
              <w:t xml:space="preserve"> </w:t>
            </w:r>
            <w:r w:rsidR="00530017" w:rsidRPr="00530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Здатність</w:t>
            </w:r>
            <w:r w:rsidR="00530017">
              <w:rPr>
                <w:lang w:val="uk-UA"/>
              </w:rPr>
              <w:t xml:space="preserve"> в</w:t>
            </w:r>
            <w:r w:rsidR="00530017" w:rsidRPr="00530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иявляти та аналізувати нові чинники соціальної нерівності в Україні та світі, визначати можливі шляхи подолання нерівного доступу різних суспільних груп до тих чи інших соціальних ресурсів.</w:t>
            </w:r>
            <w:r w:rsidR="00530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(прн 11)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+</w:t>
            </w:r>
          </w:p>
        </w:tc>
      </w:tr>
      <w:tr w:rsidR="001C52E7" w:rsidTr="00530017">
        <w:trPr>
          <w:trHeight w:val="763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Pr="00530017" w:rsidRDefault="0053001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2.Здатність з</w:t>
            </w:r>
            <w:r w:rsidRP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дійснювати пошук, обробку та презентацію соціальної інформації 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(прн 14)</w:t>
            </w:r>
          </w:p>
          <w:p w:rsidR="001C52E7" w:rsidRDefault="001C52E7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:rsidR="001C52E7" w:rsidTr="001C52E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 w:rsidP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3.Здатність </w:t>
            </w:r>
            <w:r w:rsid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</w:t>
            </w:r>
            <w:r w:rsidR="00530017" w:rsidRP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апроваджувати соціальні технології  для аналізу соціальних потреб різних суспільних груп та  підготовці рекомендацій з розвитку соціальної сфери суспільства</w:t>
            </w:r>
            <w:r w:rsid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(прн 31)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</w:tr>
      <w:tr w:rsidR="001C52E7" w:rsidTr="001C52E7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Pr="00530017" w:rsidRDefault="001C52E7" w:rsidP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lang w:val="ru-RU" w:eastAsia="uk-UA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.Здатність </w:t>
            </w:r>
            <w:r w:rsid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</w:t>
            </w:r>
            <w:r w:rsidR="00530017" w:rsidRP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астосовувати соціальні технології для управління соціально-економічними відносинами </w:t>
            </w:r>
            <w:r w:rsidR="005300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(прн 32)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 w:rsidP="00530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E7" w:rsidRDefault="001C52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1C52E7" w:rsidRDefault="001C52E7" w:rsidP="001C52E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7. Схема формування оцінки.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7.1 Форми оцінювання студентів: 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- семестрове оцінювання: 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lastRenderedPageBreak/>
        <w:t>1. активна робота на семінарських заняттях: РН1.1, РН1.2, РН2.1, РН2.2 – 42 бали (12 занять по 3,5 максимальні бали або 2 мінімальних бал кожне)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2. виконання модульних контрольних робіт: РН1.1, РН1.2, РН2.1, РН2.2, РН4 – 16 балів (2 роботи по 8 максимальних або </w:t>
      </w:r>
      <w:r w:rsidR="00D25B76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5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мінімальних бали за кожну)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3. відвідування лекційних занять – 5 балів (10 занять по 0,5 максимальні балів або 2 мінімальний бали загалом)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3. виконання самостійних робіт – 7 балів ( 7 балів максимум, </w:t>
      </w:r>
      <w:r w:rsidR="00D25B76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5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бал</w:t>
      </w:r>
      <w:r w:rsidR="00D25B76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ів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 мінімум)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4. виконання та презентація результатів творчої роботи: РН3, РН4 – 10 балів ((максимум 5 (мінімум – </w:t>
      </w:r>
      <w:r w:rsidR="00D25B76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4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) – за результат, максимум 5 (мінімум - 3) – за презентацію здобутків) – загальний мінімум – </w:t>
      </w:r>
      <w:r w:rsidR="00D25B76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7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 xml:space="preserve">).   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sz w:val="28"/>
          <w:szCs w:val="24"/>
          <w:vertAlign w:val="superscript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- підсумкове оцінювання (у формі екзамену/комплексного екзамену, диференційованого заліку)</w:t>
      </w:r>
      <w:r>
        <w:rPr>
          <w:rFonts w:ascii="Times New Roman" w:eastAsia="Times New Roman" w:hAnsi="Times New Roman" w:cs="Calibri"/>
          <w:bCs/>
          <w:sz w:val="24"/>
          <w:szCs w:val="24"/>
          <w:vertAlign w:val="superscript"/>
          <w:lang w:val="uk-UA" w:eastAsia="ar-SA"/>
        </w:rPr>
        <w:footnoteReference w:id="4"/>
      </w:r>
      <w:r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val="uk-UA" w:eastAsia="ar-SA"/>
        </w:rPr>
        <w:t xml:space="preserve">: 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val="uk-UA"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val="uk-UA" w:eastAsia="ar-SA"/>
        </w:rPr>
        <w:t>диференційований залік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8"/>
          <w:szCs w:val="24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val="uk-UA" w:eastAsia="ar-SA"/>
        </w:rPr>
        <w:t xml:space="preserve">- умови допуску до </w:t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підсумкового </w:t>
      </w:r>
      <w:r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val="uk-UA" w:eastAsia="ar-SA"/>
        </w:rPr>
        <w:t>оцінювання:</w:t>
      </w:r>
    </w:p>
    <w:p w:rsidR="001C52E7" w:rsidRDefault="001C52E7" w:rsidP="001C52E7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pacing w:val="-8"/>
          <w:sz w:val="24"/>
          <w:szCs w:val="24"/>
          <w:lang w:val="uk-UA" w:eastAsia="ar-SA"/>
        </w:rPr>
        <w:t>Для студентів, які набрали сумарно за модулі меншу кількість балів за</w:t>
      </w:r>
      <w:r>
        <w:rPr>
          <w:rFonts w:ascii="Times New Roman" w:eastAsia="Times New Roman" w:hAnsi="Times New Roman" w:cs="Calibri"/>
          <w:i/>
          <w:spacing w:val="-8"/>
          <w:sz w:val="24"/>
          <w:szCs w:val="24"/>
          <w:lang w:val="uk-UA" w:eastAsia="ar-SA"/>
        </w:rPr>
        <w:t>критично-розрахунковий мінімум – 48 балів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val="uk-UA" w:eastAsia="ar-SA"/>
        </w:rPr>
        <w:t xml:space="preserve"> для одержання допуску до заліку обов’язковим є повторне написання модульних контрольних робіт</w:t>
      </w:r>
      <w:r>
        <w:rPr>
          <w:rFonts w:ascii="Times New Roman" w:eastAsia="Times New Roman" w:hAnsi="Times New Roman" w:cs="Calibri"/>
          <w:i/>
          <w:spacing w:val="-8"/>
          <w:sz w:val="24"/>
          <w:szCs w:val="24"/>
          <w:lang w:val="uk-UA" w:eastAsia="ar-SA"/>
        </w:rPr>
        <w:t>.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val="uk-UA" w:eastAsia="ar-SA"/>
        </w:rPr>
        <w:t xml:space="preserve">7.2 Організація оцінювання: 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  <w:t>Семінарські заняття оцінюються по факту проведення, бали накопичуються протягом семестру.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  <w:t xml:space="preserve">Модульна контрольна робота №1 виконується на наступному занятті після вивчення тем  1-5. 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  <w:t xml:space="preserve">Модульна контрольна робота №2 виконується на наступному занятті після вивчення тем  6-9. 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Cs/>
          <w:spacing w:val="-8"/>
          <w:sz w:val="24"/>
          <w:szCs w:val="24"/>
          <w:lang w:val="uk-UA" w:eastAsia="ar-SA"/>
        </w:rPr>
        <w:t>Творче завдання виконується протягом семестру, презентується на 8 - 9 за графіком навчання семінарському занятті.</w:t>
      </w: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val="uk-UA" w:eastAsia="ar-SA"/>
        </w:rPr>
      </w:pPr>
    </w:p>
    <w:p w:rsidR="001C52E7" w:rsidRDefault="001C52E7" w:rsidP="001C52E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val="uk-UA" w:eastAsia="ar-SA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Відмінно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90-100</w:t>
            </w:r>
          </w:p>
        </w:tc>
      </w:tr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Добре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75-89</w:t>
            </w:r>
          </w:p>
        </w:tc>
      </w:tr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Задовільно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60-74</w:t>
            </w:r>
          </w:p>
        </w:tc>
      </w:tr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 xml:space="preserve">Незадовільно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  <w:t>-59</w:t>
            </w:r>
          </w:p>
        </w:tc>
      </w:tr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Зараховано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60-100</w:t>
            </w:r>
          </w:p>
        </w:tc>
      </w:tr>
      <w:tr w:rsidR="001C52E7" w:rsidTr="001C52E7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Не зараховано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 xml:space="preserve"> /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  <w:t>0-59</w:t>
            </w:r>
          </w:p>
        </w:tc>
      </w:tr>
    </w:tbl>
    <w:p w:rsidR="001C52E7" w:rsidRDefault="001C52E7" w:rsidP="001C52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i/>
          <w:spacing w:val="-8"/>
          <w:sz w:val="24"/>
          <w:szCs w:val="24"/>
          <w:lang w:val="uk-UA" w:eastAsia="ar-SA"/>
        </w:rPr>
      </w:pPr>
    </w:p>
    <w:p w:rsidR="001C52E7" w:rsidRDefault="001C52E7" w:rsidP="001C52E7">
      <w:pPr>
        <w:pageBreakBefore/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lastRenderedPageBreak/>
        <w:t>8. Структура  навчальної  дисципліни. Тематичний  план  лекцій та семінарських занять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48"/>
        <w:gridCol w:w="5272"/>
        <w:gridCol w:w="992"/>
        <w:gridCol w:w="1560"/>
        <w:gridCol w:w="1305"/>
      </w:tblGrid>
      <w:tr w:rsidR="001C52E7" w:rsidTr="001C52E7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52E7" w:rsidRDefault="001C52E7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Кількість годин</w:t>
            </w:r>
          </w:p>
        </w:tc>
      </w:tr>
      <w:tr w:rsidR="001C52E7" w:rsidTr="001C52E7">
        <w:trPr>
          <w:cantSplit/>
        </w:trPr>
        <w:tc>
          <w:tcPr>
            <w:tcW w:w="9777" w:type="dxa"/>
            <w:vMerge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5272" w:type="dxa"/>
            <w:vMerge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 w:line="17" w:lineRule="atLeast"/>
              <w:ind w:left="-57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C52E7" w:rsidRDefault="001C52E7">
            <w:pPr>
              <w:tabs>
                <w:tab w:val="left" w:pos="1390"/>
              </w:tabs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val="uk-UA" w:eastAsia="ar-SA"/>
              </w:rPr>
              <w:t>Самостійна робота</w:t>
            </w:r>
          </w:p>
        </w:tc>
      </w:tr>
      <w:tr w:rsidR="001C52E7" w:rsidRPr="00DD4511" w:rsidTr="001C52E7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52E7" w:rsidRDefault="001C52E7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ar-SA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Споживання як галузь соціологічного знання.</w:t>
            </w:r>
          </w:p>
        </w:tc>
      </w:tr>
      <w:tr w:rsidR="001C52E7" w:rsidTr="001C52E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Споживання як об’єкт соціологічного аналізу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5</w:t>
            </w:r>
          </w:p>
        </w:tc>
      </w:tr>
      <w:tr w:rsidR="001C52E7" w:rsidTr="001C52E7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Споживання в соціально-історичному контексті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5</w:t>
            </w:r>
          </w:p>
        </w:tc>
      </w:tr>
      <w:tr w:rsidR="001C52E7" w:rsidTr="001C52E7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Теоретичні підходи до аналізу споживання як соціального феномену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8</w:t>
            </w:r>
          </w:p>
        </w:tc>
      </w:tr>
      <w:tr w:rsidR="001C52E7" w:rsidTr="001C52E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Соціальні інституції як регулятори споживання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</w:tr>
      <w:tr w:rsidR="001C52E7" w:rsidTr="001C52E7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Споживання як соціальна позиція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</w:tr>
      <w:tr w:rsidR="001C52E7" w:rsidTr="001C52E7">
        <w:trPr>
          <w:trHeight w:val="1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val="uk-UA" w:eastAsia="ar-SA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1C52E7" w:rsidRPr="00DD4511" w:rsidTr="001C52E7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ar-SA"/>
              </w:rPr>
              <w:t>2. С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поживання як соціальні практики сучасного суспільства</w:t>
            </w:r>
          </w:p>
        </w:tc>
      </w:tr>
      <w:tr w:rsidR="001C52E7" w:rsidTr="001C52E7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Споживання як спосіб життя. Сфери споживання в умовах повсякденного життя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</w:tr>
      <w:tr w:rsidR="001C52E7" w:rsidTr="001C52E7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Споживча поведінка: особливості та фактори формування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8</w:t>
            </w:r>
          </w:p>
        </w:tc>
      </w:tr>
      <w:tr w:rsidR="001C52E7" w:rsidTr="001C52E7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Торговий простір як соціальне поле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</w:tr>
      <w:tr w:rsidR="001C52E7" w:rsidTr="001C52E7">
        <w:trPr>
          <w:trHeight w:val="1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Сучасне споживання: характерні особливості та трансформації в умовах глобальних змін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4</w:t>
            </w:r>
          </w:p>
        </w:tc>
      </w:tr>
      <w:tr w:rsidR="001C52E7" w:rsidTr="001C52E7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rPr>
                <w:rFonts w:ascii="Times New Roman" w:eastAsia="Times New Roman" w:hAnsi="Times New Roman" w:cs="Calibri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val="uk-UA" w:eastAsia="ar-SA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nil"/>
            </w:tcBorders>
            <w:vAlign w:val="bottom"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1C52E7" w:rsidRDefault="001C52E7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1C52E7" w:rsidTr="001C52E7">
        <w:tc>
          <w:tcPr>
            <w:tcW w:w="648" w:type="dxa"/>
            <w:tcBorders>
              <w:top w:val="double" w:sz="2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1C52E7" w:rsidRDefault="001C52E7">
            <w:pPr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ВСЬОГО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vertAlign w:val="superscript"/>
                <w:lang w:val="ru-RU" w:eastAsia="ar-SA"/>
              </w:rPr>
              <w:footnoteReference w:id="5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2E7" w:rsidRDefault="001C52E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uk-UA" w:eastAsia="ar-SA"/>
              </w:rPr>
              <w:t>46</w:t>
            </w:r>
          </w:p>
        </w:tc>
      </w:tr>
    </w:tbl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Загальний обсяг </w:t>
      </w:r>
      <w:r>
        <w:rPr>
          <w:rFonts w:ascii="Times New Roman" w:eastAsia="Times New Roman" w:hAnsi="Times New Roman" w:cs="Calibri"/>
          <w:b/>
          <w:i/>
          <w:sz w:val="24"/>
          <w:szCs w:val="24"/>
          <w:lang w:val="ru-RU" w:eastAsia="ar-SA"/>
        </w:rPr>
        <w:t xml:space="preserve">90 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>год.</w:t>
      </w:r>
      <w:r>
        <w:rPr>
          <w:rFonts w:ascii="Times New Roman" w:eastAsia="Times New Roman" w:hAnsi="Times New Roman" w:cs="Calibri"/>
          <w:i/>
          <w:sz w:val="24"/>
          <w:szCs w:val="24"/>
          <w:vertAlign w:val="superscript"/>
          <w:lang w:val="uk-UA" w:eastAsia="ar-SA"/>
        </w:rPr>
        <w:footnoteReference w:id="6"/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в тому числі:</w:t>
      </w: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Лекцій</w:t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 – 2</w:t>
      </w:r>
      <w:r>
        <w:rPr>
          <w:rFonts w:ascii="Times New Roman" w:eastAsia="Times New Roman" w:hAnsi="Times New Roman" w:cs="Calibri"/>
          <w:b/>
          <w:i/>
          <w:sz w:val="24"/>
          <w:szCs w:val="24"/>
          <w:lang w:val="uk-UA" w:eastAsia="ar-SA"/>
        </w:rPr>
        <w:t>0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 год.</w:t>
      </w: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Семінари</w:t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 – 24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 xml:space="preserve"> год.</w:t>
      </w:r>
    </w:p>
    <w:p w:rsidR="001C52E7" w:rsidRDefault="001C52E7" w:rsidP="001C52E7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uk-UA" w:eastAsia="ar-SA"/>
        </w:rPr>
        <w:t>Самостійна робота</w:t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 xml:space="preserve"> – </w:t>
      </w:r>
      <w:r>
        <w:rPr>
          <w:rFonts w:ascii="Times New Roman" w:eastAsia="Times New Roman" w:hAnsi="Times New Roman" w:cs="Calibri"/>
          <w:b/>
          <w:i/>
          <w:sz w:val="24"/>
          <w:szCs w:val="24"/>
          <w:lang w:val="uk-UA" w:eastAsia="ar-SA"/>
        </w:rPr>
        <w:t xml:space="preserve">46 </w:t>
      </w:r>
      <w: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  <w:t>год.</w:t>
      </w:r>
    </w:p>
    <w:p w:rsidR="001C52E7" w:rsidRDefault="001C52E7" w:rsidP="001C52E7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bCs/>
          <w:sz w:val="16"/>
          <w:szCs w:val="16"/>
          <w:lang w:val="uk-UA" w:eastAsia="ar-SA"/>
        </w:rPr>
      </w:pPr>
    </w:p>
    <w:p w:rsidR="001C52E7" w:rsidRDefault="001C52E7" w:rsidP="001C52E7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9. Рекомендовані джерела</w:t>
      </w:r>
      <w:r>
        <w:rPr>
          <w:rFonts w:ascii="Times New Roman" w:eastAsia="Times New Roman" w:hAnsi="Times New Roman" w:cs="Calibri"/>
          <w:b/>
          <w:sz w:val="24"/>
          <w:szCs w:val="24"/>
          <w:vertAlign w:val="superscript"/>
          <w:lang w:val="uk-UA" w:eastAsia="ar-SA"/>
        </w:rPr>
        <w:footnoteReference w:id="7"/>
      </w:r>
      <w:r>
        <w:rPr>
          <w:rFonts w:ascii="Times New Roman" w:eastAsia="Times New Roman" w:hAnsi="Times New Roman" w:cs="Calibri"/>
          <w:b/>
          <w:sz w:val="24"/>
          <w:szCs w:val="24"/>
          <w:lang w:val="uk-UA" w:eastAsia="ar-SA"/>
        </w:rPr>
        <w:t>:</w:t>
      </w:r>
    </w:p>
    <w:p w:rsidR="001C52E7" w:rsidRDefault="001C52E7" w:rsidP="001C52E7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Calibri"/>
          <w:i/>
          <w:i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Calibri"/>
          <w:b/>
          <w:i/>
          <w:iCs/>
          <w:sz w:val="24"/>
          <w:szCs w:val="24"/>
          <w:lang w:val="uk-UA" w:eastAsia="ar-SA"/>
        </w:rPr>
        <w:t xml:space="preserve">Основна: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val="uk-UA" w:eastAsia="ar-SA"/>
        </w:rPr>
        <w:t>(Базова)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1.Ильин В.И. Поведение потребителей.. - СПб.: Питер, 2000 - 224 C.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>Зоська, Я.В. Суспільство споживання та соціальні практики споживачів в Україні. Запоріжжя, 2011.- 350 с.</w:t>
      </w:r>
      <w:r>
        <w:rPr>
          <w:rFonts w:ascii="Times New Roman" w:hAnsi="Times New Roman"/>
          <w:sz w:val="24"/>
          <w:szCs w:val="24"/>
        </w:rPr>
        <w:t> 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Рощина Я.М. Социология потребления. М.: ГУ-ВШЭ, 2007.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Социология потребления / Под ред. Л.Т.Воликовой, Ю.Гронова,   В.Н.Мининой ( на рус.и англ.яз.). - СПб.: Социолог.об-во им. М.М.Ковалевского, 2001 - 240 </w:t>
      </w:r>
      <w:r>
        <w:rPr>
          <w:rFonts w:ascii="Times New Roman" w:hAnsi="Times New Roman"/>
          <w:sz w:val="24"/>
          <w:szCs w:val="24"/>
          <w:lang w:val="en-US"/>
        </w:rPr>
        <w:t>C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Тарасенко В.И. Социология потребления: методологические проблемы.. - К.: Наукова думка, 1993 - 166 C.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А.В.Ульяновский</w:t>
      </w:r>
      <w:r>
        <w:rPr>
          <w:rFonts w:ascii="Times New Roman" w:hAnsi="Times New Roman"/>
          <w:sz w:val="24"/>
          <w:szCs w:val="24"/>
          <w:lang w:val="ru-RU"/>
        </w:rPr>
        <w:t>. Мифодизайн</w:t>
      </w:r>
      <w:r>
        <w:rPr>
          <w:rFonts w:ascii="Times New Roman" w:hAnsi="Times New Roman"/>
          <w:sz w:val="24"/>
          <w:szCs w:val="24"/>
          <w:lang w:val="uk-UA"/>
        </w:rPr>
        <w:t>: коммерческие и социальные мифы.- СПб.: Питер, 2006.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9. Гантер Б</w:t>
      </w:r>
      <w:r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bCs/>
          <w:sz w:val="24"/>
          <w:szCs w:val="24"/>
          <w:lang w:val="uk-UA"/>
        </w:rPr>
        <w:t>Типы потребителей</w:t>
      </w:r>
      <w:r>
        <w:rPr>
          <w:rFonts w:ascii="Times New Roman" w:hAnsi="Times New Roman"/>
          <w:sz w:val="24"/>
          <w:szCs w:val="24"/>
          <w:lang w:val="uk-UA"/>
        </w:rPr>
        <w:t>: </w:t>
      </w:r>
      <w:r>
        <w:rPr>
          <w:rFonts w:ascii="Times New Roman" w:hAnsi="Times New Roman"/>
          <w:bCs/>
          <w:sz w:val="24"/>
          <w:szCs w:val="24"/>
          <w:lang w:val="uk-UA"/>
        </w:rPr>
        <w:t>введение</w:t>
      </w:r>
      <w:r>
        <w:rPr>
          <w:rFonts w:ascii="Times New Roman" w:hAnsi="Times New Roman"/>
          <w:sz w:val="24"/>
          <w:szCs w:val="24"/>
          <w:lang w:val="uk-UA"/>
        </w:rPr>
        <w:t> в </w:t>
      </w:r>
      <w:r>
        <w:rPr>
          <w:rFonts w:ascii="Times New Roman" w:hAnsi="Times New Roman"/>
          <w:bCs/>
          <w:sz w:val="24"/>
          <w:szCs w:val="24"/>
          <w:lang w:val="uk-UA"/>
        </w:rPr>
        <w:t>психографику</w:t>
      </w:r>
      <w:r>
        <w:rPr>
          <w:rFonts w:ascii="Times New Roman" w:hAnsi="Times New Roman"/>
          <w:sz w:val="24"/>
          <w:szCs w:val="24"/>
          <w:lang w:val="uk-UA"/>
        </w:rPr>
        <w:t>: пер. с англ. / </w:t>
      </w:r>
      <w:r>
        <w:rPr>
          <w:rFonts w:ascii="Times New Roman" w:hAnsi="Times New Roman"/>
          <w:bCs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bCs/>
          <w:sz w:val="24"/>
          <w:szCs w:val="24"/>
          <w:lang w:val="uk-UA"/>
        </w:rPr>
        <w:t>Гантер</w:t>
      </w:r>
      <w:r>
        <w:rPr>
          <w:rFonts w:ascii="Times New Roman" w:hAnsi="Times New Roman"/>
          <w:sz w:val="24"/>
          <w:szCs w:val="24"/>
          <w:lang w:val="uk-UA"/>
        </w:rPr>
        <w:t>, </w:t>
      </w:r>
      <w:r>
        <w:rPr>
          <w:rFonts w:ascii="Times New Roman" w:hAnsi="Times New Roman"/>
          <w:bCs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bCs/>
          <w:sz w:val="24"/>
          <w:szCs w:val="24"/>
          <w:lang w:val="uk-UA"/>
        </w:rPr>
        <w:t>Фернхам</w:t>
      </w:r>
      <w:r>
        <w:rPr>
          <w:rFonts w:ascii="Times New Roman" w:hAnsi="Times New Roman"/>
          <w:sz w:val="24"/>
          <w:szCs w:val="24"/>
          <w:lang w:val="uk-UA"/>
        </w:rPr>
        <w:t>. – </w:t>
      </w:r>
      <w:r>
        <w:rPr>
          <w:rFonts w:ascii="Times New Roman" w:hAnsi="Times New Roman"/>
          <w:bCs/>
          <w:sz w:val="24"/>
          <w:szCs w:val="24"/>
          <w:lang w:val="uk-UA"/>
        </w:rPr>
        <w:t>СПб</w:t>
      </w:r>
      <w:r>
        <w:rPr>
          <w:rFonts w:ascii="Times New Roman" w:hAnsi="Times New Roman"/>
          <w:sz w:val="24"/>
          <w:szCs w:val="24"/>
          <w:lang w:val="uk-UA"/>
        </w:rPr>
        <w:t>.: </w:t>
      </w:r>
      <w:r>
        <w:rPr>
          <w:rFonts w:ascii="Times New Roman" w:hAnsi="Times New Roman"/>
          <w:bCs/>
          <w:sz w:val="24"/>
          <w:szCs w:val="24"/>
          <w:lang w:val="uk-UA"/>
        </w:rPr>
        <w:t>Питер</w:t>
      </w:r>
      <w:r>
        <w:rPr>
          <w:rFonts w:ascii="Times New Roman" w:hAnsi="Times New Roman"/>
          <w:sz w:val="24"/>
          <w:szCs w:val="24"/>
          <w:lang w:val="uk-UA"/>
        </w:rPr>
        <w:t>, </w:t>
      </w:r>
      <w:r>
        <w:rPr>
          <w:rFonts w:ascii="Times New Roman" w:hAnsi="Times New Roman"/>
          <w:bCs/>
          <w:sz w:val="24"/>
          <w:szCs w:val="24"/>
          <w:lang w:val="uk-UA"/>
        </w:rPr>
        <w:t>2001</w:t>
      </w:r>
      <w:r>
        <w:rPr>
          <w:rFonts w:ascii="Times New Roman" w:hAnsi="Times New Roman"/>
          <w:sz w:val="24"/>
          <w:szCs w:val="24"/>
          <w:lang w:val="uk-UA"/>
        </w:rPr>
        <w:t>. – 304 с. </w:t>
      </w:r>
    </w:p>
    <w:p w:rsidR="001C52E7" w:rsidRDefault="001C52E7" w:rsidP="001C52E7">
      <w:pPr>
        <w:spacing w:before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Додаткова:</w:t>
      </w:r>
    </w:p>
    <w:p w:rsidR="001C52E7" w:rsidRDefault="001C52E7" w:rsidP="001C52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Бауман З. Текучая современность.  М., СПб.: Питер, 2008. – 240 с. </w:t>
      </w:r>
      <w:r>
        <w:rPr>
          <w:rFonts w:ascii="Times New Roman" w:hAnsi="Times New Roman"/>
          <w:sz w:val="24"/>
          <w:szCs w:val="24"/>
          <w:lang w:val="uk-UA"/>
        </w:rPr>
        <w:t>Режим доступу:</w:t>
      </w:r>
      <w:r>
        <w:rPr>
          <w:lang w:val="ru-RU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http://platona.net/load/knigi_po_filosofii/politologija/bauman_z_tekuchaja_sovremennost/21-1-0-2379</w:t>
        </w:r>
      </w:hyperlink>
    </w:p>
    <w:p w:rsidR="001C52E7" w:rsidRDefault="001C52E7" w:rsidP="001C52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Бодрийар Жан. Общество потребления. Его мифы и структуры. – М.: Культурная революція; Республика, 2006. Режим доступу: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http://gtmarket.ru/laboratory/basis/3464/3465</w:t>
        </w:r>
      </w:hyperlink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3. Ж.Бодріяр Симулякри і симуляція. К.: Основи, 2004.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Бурдье П. Социология социального пространства.- Спб, Алетейа, 2007. – 288 с. Режим доступу:</w:t>
      </w:r>
      <w:r>
        <w:rPr>
          <w:lang w:val="ru-RU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http://socioline.ru/files/5/39/sociologiya_socialnogo_prostranstva.pdf</w:t>
        </w:r>
      </w:hyperlink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Бурстин Д. Сообщества потребления. - Журнал Thesis, 1993, выпуск 3, 24 с. Режим доступу: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https://igiti.hse.ru/data/997/313/1234/3_5_2Boors.pdf</w:t>
        </w:r>
      </w:hyperlink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Веблен Т. Теория праздного класса. М., 1984. Режим доступу:</w:t>
      </w:r>
      <w:r>
        <w:rPr>
          <w:lang w:val="ru-RU"/>
        </w:rPr>
        <w:t xml:space="preserve">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http://www.library.fa.ru/files/Veblen.pdf</w:t>
        </w:r>
      </w:hyperlink>
    </w:p>
    <w:p w:rsidR="001C52E7" w:rsidRDefault="001C52E7" w:rsidP="001C52E7">
      <w:pPr>
        <w:spacing w:after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Дебор Ги . Общество спектакля.- М.: Логос, 2000.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Зиммель Г. Мода // Г.Зиммель. Избранное. Т.2. Созерцание жизни. М.: Юристъ, 1996.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 </w:t>
      </w:r>
      <w:hyperlink r:id="rId13" w:history="1">
        <w:r>
          <w:rPr>
            <w:rStyle w:val="a3"/>
            <w:rFonts w:ascii="Times New Roman" w:hAnsi="Times New Roman"/>
            <w:color w:val="auto"/>
            <w:szCs w:val="24"/>
            <w:u w:val="none"/>
            <w:lang w:val="ru-RU"/>
          </w:rPr>
          <w:t>Ильин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В.И.Быт и бытие молодежи российского мегаполиса: социальная структурация повседневности общества потребления - Изд-во Интерсоцис, СПб, 2007 – 388 с. 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>10. Ритцер Дж. Макдональдизация общества .- М.: Праксис, 2011.- 592 с.</w:t>
      </w:r>
      <w:r>
        <w:rPr>
          <w:rFonts w:ascii="Times New Roman" w:hAnsi="Times New Roman"/>
          <w:sz w:val="24"/>
          <w:szCs w:val="24"/>
          <w:lang w:val="uk-UA"/>
        </w:rPr>
        <w:t xml:space="preserve"> Режим доступу: Режим доступу: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http://socioline.ru/files/5/316/ritcer_dzhordzh_-_makdonaldizaciya_obshchestva_5_2011.pdf</w:t>
        </w:r>
      </w:hyperlink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11. Савельева О.О. Социология рекламного воздействия. – М.: «РИП-Холдинг», 2006.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12. Суименко Е. И., Ефременко Т. О.Ноmо есоnоmісus современной Украины. Поведенческий аспект. – К. : Институт социологии НАН Украины, 2004. – 244 с.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13. Социология вещей :сборник статей / Под ред. В. Вахштайна. —М.: Издательский дом «Территория будущего», 2006. </w:t>
      </w:r>
    </w:p>
    <w:p w:rsidR="001C52E7" w:rsidRP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C52E7">
        <w:rPr>
          <w:rFonts w:ascii="Times New Roman" w:hAnsi="Times New Roman"/>
          <w:sz w:val="24"/>
          <w:szCs w:val="24"/>
          <w:lang w:val="en-US"/>
        </w:rPr>
        <w:t xml:space="preserve">14.Campbell C. The Sociology of Consumption //D.Miller (Ed.). Acknowledging Consumption. Review of New Studies. London and New York, 1995.. </w:t>
      </w:r>
    </w:p>
    <w:p w:rsidR="001C52E7" w:rsidRP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C52E7">
        <w:rPr>
          <w:rFonts w:ascii="Times New Roman" w:hAnsi="Times New Roman"/>
          <w:sz w:val="24"/>
          <w:szCs w:val="24"/>
          <w:lang w:val="en-US"/>
        </w:rPr>
        <w:t xml:space="preserve">15. </w:t>
      </w:r>
      <w:hyperlink r:id="rId15" w:history="1">
        <w:r w:rsidRPr="001C52E7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Peter Corrigan</w:t>
        </w:r>
      </w:hyperlink>
      <w:r w:rsidRPr="001C52E7">
        <w:rPr>
          <w:rFonts w:ascii="Times New Roman" w:hAnsi="Times New Roman"/>
          <w:sz w:val="24"/>
          <w:szCs w:val="24"/>
          <w:lang w:val="en-US"/>
        </w:rPr>
        <w:t>. The Sociology of Consumption. - SAGE Publications Ltd  - 1997 -  208 p. </w:t>
      </w:r>
    </w:p>
    <w:p w:rsidR="001C52E7" w:rsidRP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C52E7">
        <w:rPr>
          <w:rFonts w:ascii="Times New Roman" w:hAnsi="Times New Roman"/>
          <w:sz w:val="24"/>
          <w:szCs w:val="24"/>
          <w:lang w:val="en-US"/>
        </w:rPr>
        <w:t xml:space="preserve">16.Y. Gabriel and T. Lang The Unmanageable Consumer . - Sage Publications Ltd, 2006.- 232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1C52E7">
        <w:rPr>
          <w:rFonts w:ascii="Times New Roman" w:hAnsi="Times New Roman"/>
          <w:sz w:val="24"/>
          <w:szCs w:val="24"/>
          <w:lang w:val="en-US"/>
        </w:rPr>
        <w:t>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C52E7">
        <w:rPr>
          <w:rFonts w:ascii="Times New Roman" w:hAnsi="Times New Roman"/>
          <w:sz w:val="24"/>
          <w:szCs w:val="24"/>
          <w:lang w:val="en-US"/>
        </w:rPr>
        <w:t>17.</w:t>
      </w:r>
      <w:hyperlink r:id="rId16" w:history="1">
        <w:r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1C52E7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Smart</w:t>
        </w:r>
      </w:hyperlink>
      <w:r w:rsidRPr="001C52E7">
        <w:rPr>
          <w:rFonts w:ascii="Times New Roman" w:hAnsi="Times New Roman"/>
          <w:sz w:val="24"/>
          <w:szCs w:val="24"/>
          <w:lang w:val="en-US"/>
        </w:rPr>
        <w:t xml:space="preserve"> Barry Consumer Society: Critical Issues &amp; Environmental Consequences .- University of Portsmouth, UK SAGE Publications</w:t>
      </w:r>
      <w:r>
        <w:rPr>
          <w:rFonts w:ascii="Times New Roman" w:hAnsi="Times New Roman"/>
          <w:sz w:val="24"/>
          <w:szCs w:val="24"/>
          <w:lang w:val="en-US"/>
        </w:rPr>
        <w:t xml:space="preserve"> Lt, - 2010 – 264 p.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Stillerman Joel. The Sociology of Consumption: A Global ApproachPolity Press, Cambridge, 2015,  228 pp.</w:t>
      </w:r>
    </w:p>
    <w:p w:rsidR="001C52E7" w:rsidRDefault="001C52E7" w:rsidP="001C52E7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19. </w:t>
      </w:r>
      <w:r>
        <w:rPr>
          <w:rFonts w:ascii="Times New Roman" w:hAnsi="Times New Roman"/>
          <w:sz w:val="24"/>
          <w:szCs w:val="24"/>
          <w:lang w:val="en-US"/>
        </w:rPr>
        <w:t>Slater D. Consumer Culture &amp; Modernity. Cambridge: Polity Press, 1998.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20.</w:t>
      </w:r>
      <w:r>
        <w:rPr>
          <w:rFonts w:ascii="Times New Roman" w:hAnsi="Times New Roman"/>
          <w:sz w:val="24"/>
          <w:szCs w:val="24"/>
          <w:lang w:val="en-US"/>
        </w:rPr>
        <w:t xml:space="preserve">Stuart Ewen. </w:t>
      </w:r>
      <w:hyperlink r:id="rId17" w:history="1">
        <w:r w:rsidRPr="00D6576B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Memoirs of a Commodity Fetishism</w:t>
        </w:r>
      </w:hyperlink>
      <w:r w:rsidRPr="00D6576B">
        <w:rPr>
          <w:rFonts w:ascii="Times New Roman" w:hAnsi="Times New Roman"/>
          <w:sz w:val="24"/>
          <w:szCs w:val="24"/>
          <w:lang w:val="en-US"/>
        </w:rPr>
        <w:t>. //</w:t>
      </w:r>
      <w:r>
        <w:rPr>
          <w:rFonts w:ascii="Times New Roman" w:hAnsi="Times New Roman"/>
          <w:sz w:val="24"/>
          <w:szCs w:val="24"/>
          <w:lang w:val="ru-RU"/>
        </w:rPr>
        <w:t>Журнал</w:t>
      </w:r>
      <w:r w:rsidRPr="00D657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социологии</w:t>
      </w:r>
      <w:r w:rsidRPr="00D657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D657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социальной</w:t>
      </w:r>
      <w:r w:rsidRPr="00D657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антропологии</w:t>
      </w:r>
      <w:r w:rsidRPr="00D6576B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2007. 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>. 10. № 1.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21. </w:t>
      </w:r>
      <w:r>
        <w:rPr>
          <w:rFonts w:ascii="Times New Roman" w:hAnsi="Times New Roman"/>
          <w:sz w:val="24"/>
          <w:szCs w:val="24"/>
          <w:lang w:val="en-US"/>
        </w:rPr>
        <w:t xml:space="preserve">Joseph Turow . The Daily You: How the New Advertising Industry Is Defining Your Identity and Your Worth   Yale University Press, 2012.  </w:t>
      </w:r>
      <w:r>
        <w:rPr>
          <w:rFonts w:ascii="Times New Roman" w:hAnsi="Times New Roman"/>
          <w:sz w:val="24"/>
          <w:szCs w:val="24"/>
          <w:lang w:val="ru-RU"/>
        </w:rPr>
        <w:t>256 стор.</w:t>
      </w:r>
    </w:p>
    <w:p w:rsidR="001C52E7" w:rsidRDefault="001C52E7" w:rsidP="001C52E7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C52E7" w:rsidRDefault="001C52E7" w:rsidP="001C52E7">
      <w:pPr>
        <w:pStyle w:val="21"/>
        <w:overflowPunct/>
        <w:autoSpaceDE/>
        <w:adjustRightInd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ІНТЕРНЕТ-РЕСУРСИ</w:t>
      </w:r>
    </w:p>
    <w:p w:rsidR="001C52E7" w:rsidRDefault="001C52E7" w:rsidP="001C52E7">
      <w:pPr>
        <w:pStyle w:val="21"/>
        <w:overflowPunct/>
        <w:autoSpaceDE/>
        <w:adjustRightInd/>
        <w:ind w:firstLine="360"/>
        <w:rPr>
          <w:rFonts w:ascii="Times New Roman" w:hAnsi="Times New Roman"/>
          <w:sz w:val="24"/>
          <w:szCs w:val="24"/>
          <w:lang w:val="ru-RU"/>
        </w:rPr>
      </w:pPr>
    </w:p>
    <w:p w:rsidR="001C52E7" w:rsidRDefault="00DD4511" w:rsidP="001C52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18" w:history="1"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ecsoc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msses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/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Mag</w:t>
        </w:r>
        <w:r w:rsidR="001C52E7" w:rsidRP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1C52E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1C52E7" w:rsidRPr="001C52E7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1C52E7">
        <w:rPr>
          <w:rFonts w:ascii="Times New Roman" w:hAnsi="Times New Roman"/>
          <w:sz w:val="24"/>
          <w:szCs w:val="24"/>
          <w:lang w:val="ru-RU"/>
        </w:rPr>
        <w:t xml:space="preserve"> електронний журнал "Экономическая социология".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http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socium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library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html</w:t>
      </w:r>
      <w:r>
        <w:rPr>
          <w:rFonts w:ascii="Times New Roman" w:hAnsi="Times New Roman"/>
          <w:sz w:val="24"/>
          <w:szCs w:val="24"/>
          <w:lang w:val="ru-RU"/>
        </w:rPr>
        <w:t xml:space="preserve">  - Бібліотека інформаційно аналітичного центру «Соціум»</w:t>
      </w:r>
    </w:p>
    <w:p w:rsidR="001C52E7" w:rsidRDefault="001C52E7" w:rsidP="001C52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http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</w:rPr>
        <w:t>ecsocman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/  -      Бібліотека освітнього порталу  «ЭКОНОМИКА, СОЦИОЛОГИЯ, МЕНЕДЖМЕНТ» </w:t>
      </w:r>
    </w:p>
    <w:p w:rsidR="00A47E70" w:rsidRPr="001C52E7" w:rsidRDefault="00DD4511">
      <w:pPr>
        <w:rPr>
          <w:lang w:val="ru-RU"/>
        </w:rPr>
      </w:pPr>
    </w:p>
    <w:sectPr w:rsidR="00A47E70" w:rsidRPr="001C52E7">
      <w:foot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B5" w:rsidRDefault="00DE6CB5" w:rsidP="001C52E7">
      <w:pPr>
        <w:spacing w:after="0" w:line="240" w:lineRule="auto"/>
      </w:pPr>
      <w:r>
        <w:separator/>
      </w:r>
    </w:p>
  </w:endnote>
  <w:endnote w:type="continuationSeparator" w:id="0">
    <w:p w:rsidR="00DE6CB5" w:rsidRDefault="00DE6CB5" w:rsidP="001C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778359"/>
      <w:docPartObj>
        <w:docPartGallery w:val="Page Numbers (Bottom of Page)"/>
        <w:docPartUnique/>
      </w:docPartObj>
    </w:sdtPr>
    <w:sdtContent>
      <w:p w:rsidR="00DD4511" w:rsidRDefault="00DD451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4511">
          <w:rPr>
            <w:noProof/>
            <w:lang w:val="ru-RU"/>
          </w:rPr>
          <w:t>1</w:t>
        </w:r>
        <w:r>
          <w:fldChar w:fldCharType="end"/>
        </w:r>
      </w:p>
    </w:sdtContent>
  </w:sdt>
  <w:p w:rsidR="00DD4511" w:rsidRDefault="00DD45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B5" w:rsidRDefault="00DE6CB5" w:rsidP="001C52E7">
      <w:pPr>
        <w:spacing w:after="0" w:line="240" w:lineRule="auto"/>
      </w:pPr>
      <w:r>
        <w:separator/>
      </w:r>
    </w:p>
  </w:footnote>
  <w:footnote w:type="continuationSeparator" w:id="0">
    <w:p w:rsidR="00DE6CB5" w:rsidRDefault="00DE6CB5" w:rsidP="001C52E7">
      <w:pPr>
        <w:spacing w:after="0" w:line="240" w:lineRule="auto"/>
      </w:pPr>
      <w:r>
        <w:continuationSeparator/>
      </w:r>
    </w:p>
  </w:footnote>
  <w:footnote w:id="1">
    <w:p w:rsidR="001C52E7" w:rsidRDefault="001C52E7" w:rsidP="001C52E7">
      <w:pPr>
        <w:spacing w:before="60"/>
        <w:ind w:left="567"/>
        <w:jc w:val="both"/>
        <w:rPr>
          <w:sz w:val="28"/>
          <w:szCs w:val="24"/>
          <w:lang w:val="ru-RU"/>
        </w:rPr>
      </w:pPr>
    </w:p>
  </w:footnote>
  <w:footnote w:id="2">
    <w:p w:rsidR="001C52E7" w:rsidRDefault="001C52E7" w:rsidP="001C52E7">
      <w:pPr>
        <w:pStyle w:val="a4"/>
      </w:pPr>
      <w:r>
        <w:rPr>
          <w:rStyle w:val="a6"/>
        </w:rPr>
        <w:sym w:font="Symbol" w:char="F02A"/>
      </w:r>
      <w:r>
        <w:t xml:space="preserve"> заповнюється за необхідністю, наприклад  для практик, лабораторних курсів тощо.</w:t>
      </w:r>
    </w:p>
  </w:footnote>
  <w:footnote w:id="3">
    <w:p w:rsidR="001C52E7" w:rsidRDefault="001C52E7" w:rsidP="001C52E7">
      <w:pPr>
        <w:pStyle w:val="a4"/>
      </w:pPr>
    </w:p>
  </w:footnote>
  <w:footnote w:id="4">
    <w:p w:rsidR="001C52E7" w:rsidRDefault="001C52E7" w:rsidP="001C52E7">
      <w:pPr>
        <w:pStyle w:val="a4"/>
        <w:spacing w:before="60" w:line="216" w:lineRule="auto"/>
        <w:jc w:val="both"/>
      </w:pPr>
      <w:r>
        <w:rPr>
          <w:rStyle w:val="a7"/>
        </w:rPr>
        <w:footnoteRef/>
      </w:r>
      <w:r>
        <w:rPr>
          <w:spacing w:val="-6"/>
        </w:rPr>
        <w:tab/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5">
    <w:p w:rsidR="001C52E7" w:rsidRDefault="001C52E7" w:rsidP="001C52E7">
      <w:pPr>
        <w:pStyle w:val="a4"/>
      </w:pPr>
      <w:r>
        <w:rPr>
          <w:rStyle w:val="a7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6">
    <w:p w:rsidR="001C52E7" w:rsidRDefault="001C52E7" w:rsidP="001C52E7">
      <w:pPr>
        <w:pStyle w:val="a4"/>
      </w:pPr>
      <w:r>
        <w:rPr>
          <w:rStyle w:val="a7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7">
    <w:p w:rsidR="001C52E7" w:rsidRDefault="001C52E7" w:rsidP="001C52E7">
      <w:pPr>
        <w:pStyle w:val="a4"/>
      </w:pPr>
      <w:r>
        <w:rPr>
          <w:rStyle w:val="a7"/>
        </w:rPr>
        <w:footnoteRef/>
      </w:r>
      <w:r>
        <w:tab/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220B8"/>
    <w:multiLevelType w:val="hybridMultilevel"/>
    <w:tmpl w:val="A8D0BB6C"/>
    <w:lvl w:ilvl="0" w:tplc="9B94021E">
      <w:start w:val="1"/>
      <w:numFmt w:val="decimal"/>
      <w:lvlText w:val="%1."/>
      <w:lvlJc w:val="left"/>
      <w:pPr>
        <w:ind w:left="4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5"/>
    <w:rsid w:val="000B7271"/>
    <w:rsid w:val="001C52E7"/>
    <w:rsid w:val="00437CA5"/>
    <w:rsid w:val="00530017"/>
    <w:rsid w:val="0058599B"/>
    <w:rsid w:val="00D25B76"/>
    <w:rsid w:val="00D6576B"/>
    <w:rsid w:val="00DD4511"/>
    <w:rsid w:val="00D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E7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52E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1C52E7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Текст сноски Знак"/>
    <w:basedOn w:val="a0"/>
    <w:link w:val="a4"/>
    <w:semiHidden/>
    <w:rsid w:val="001C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C52E7"/>
    <w:pPr>
      <w:spacing w:after="120" w:line="480" w:lineRule="auto"/>
      <w:ind w:left="283"/>
    </w:pPr>
    <w:rPr>
      <w:rFonts w:eastAsia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52E7"/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semiHidden/>
    <w:rsid w:val="001C52E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val="uk-UA" w:eastAsia="ru-RU"/>
    </w:rPr>
  </w:style>
  <w:style w:type="character" w:styleId="a6">
    <w:name w:val="footnote reference"/>
    <w:semiHidden/>
    <w:unhideWhenUsed/>
    <w:rsid w:val="001C52E7"/>
    <w:rPr>
      <w:vertAlign w:val="superscript"/>
    </w:rPr>
  </w:style>
  <w:style w:type="character" w:customStyle="1" w:styleId="a7">
    <w:name w:val="Символи виноски"/>
    <w:rsid w:val="001C52E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D45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511"/>
    <w:rPr>
      <w:rFonts w:ascii="Calibri" w:eastAsia="Calibri" w:hAnsi="Calibri" w:cs="Times New Roman"/>
      <w:lang w:val="en-GB"/>
    </w:rPr>
  </w:style>
  <w:style w:type="paragraph" w:styleId="aa">
    <w:name w:val="footer"/>
    <w:basedOn w:val="a"/>
    <w:link w:val="ab"/>
    <w:uiPriority w:val="99"/>
    <w:unhideWhenUsed/>
    <w:rsid w:val="00DD45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511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E7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52E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1C52E7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Текст сноски Знак"/>
    <w:basedOn w:val="a0"/>
    <w:link w:val="a4"/>
    <w:semiHidden/>
    <w:rsid w:val="001C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C52E7"/>
    <w:pPr>
      <w:spacing w:after="120" w:line="480" w:lineRule="auto"/>
      <w:ind w:left="283"/>
    </w:pPr>
    <w:rPr>
      <w:rFonts w:eastAsia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52E7"/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semiHidden/>
    <w:rsid w:val="001C52E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val="uk-UA" w:eastAsia="ru-RU"/>
    </w:rPr>
  </w:style>
  <w:style w:type="character" w:styleId="a6">
    <w:name w:val="footnote reference"/>
    <w:semiHidden/>
    <w:unhideWhenUsed/>
    <w:rsid w:val="001C52E7"/>
    <w:rPr>
      <w:vertAlign w:val="superscript"/>
    </w:rPr>
  </w:style>
  <w:style w:type="character" w:customStyle="1" w:styleId="a7">
    <w:name w:val="Символи виноски"/>
    <w:rsid w:val="001C52E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D45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4511"/>
    <w:rPr>
      <w:rFonts w:ascii="Calibri" w:eastAsia="Calibri" w:hAnsi="Calibri" w:cs="Times New Roman"/>
      <w:lang w:val="en-GB"/>
    </w:rPr>
  </w:style>
  <w:style w:type="paragraph" w:styleId="aa">
    <w:name w:val="footer"/>
    <w:basedOn w:val="a"/>
    <w:link w:val="ab"/>
    <w:uiPriority w:val="99"/>
    <w:unhideWhenUsed/>
    <w:rsid w:val="00DD45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5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na.net/load/knigi_po_filosofii/politologija/bauman_z_tekuchaja_sovremennost/21-1-0-2379" TargetMode="External"/><Relationship Id="rId13" Type="http://schemas.openxmlformats.org/officeDocument/2006/relationships/hyperlink" Target="http://www.google.com.ua/search?hl=ru&amp;tbo=p&amp;tbm=bks&amp;q=inauthor:%22%D0%92%D0%BB%D0%B0%D0%B4%D0%B8%D0%BC%D0%B8%D1%80+%D0%98%D0%B2%D0%B0%D0%BD%D0%BE%D0%B2%D0%B8%D1%87+%D0%98%D0%BB%D1%8C%D0%B8%D0%BD%22&amp;source=gbs_metadata_r&amp;cad=3" TargetMode="External"/><Relationship Id="rId18" Type="http://schemas.openxmlformats.org/officeDocument/2006/relationships/hyperlink" Target="http://www.ecsoc.msses.ru/Mag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brary.fa.ru/files/Veblen.pdf" TargetMode="External"/><Relationship Id="rId17" Type="http://schemas.openxmlformats.org/officeDocument/2006/relationships/hyperlink" Target="http://ecsocman.hse.ru/text/1908185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.sagepub.com/authorDetails.nav?contribId=50000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giti.hse.ru/data/997/313/1234/3_5_2Boor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gepub.com/authorDetails.nav?contribId=500701" TargetMode="External"/><Relationship Id="rId10" Type="http://schemas.openxmlformats.org/officeDocument/2006/relationships/hyperlink" Target="http://socioline.ru/files/5/39/sociologiya_socialnogo_prostranstv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tmarket.ru/laboratory/basis/3464/3465" TargetMode="External"/><Relationship Id="rId14" Type="http://schemas.openxmlformats.org/officeDocument/2006/relationships/hyperlink" Target="http://socioline.ru/files/5/316/ritcer_dzhordzh_-_makdonaldizaciya_obshchestva_5_20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8590</Words>
  <Characters>4897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РОБОЧА  ПРОГРАМА  НАВЧАЛЬНОЇ  ДИСЦИПЛІНИ</vt:lpstr>
    </vt:vector>
  </TitlesOfParts>
  <Company>*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2017-12-02T17:10:00Z</dcterms:created>
  <dcterms:modified xsi:type="dcterms:W3CDTF">2017-12-02T17:10:00Z</dcterms:modified>
</cp:coreProperties>
</file>